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356" w:type="dxa"/>
        <w:tblInd w:w="-34" w:type="dxa"/>
        <w:tblLayout w:type="fixed"/>
        <w:tblCellMar>
          <w:top w:w="0" w:type="dxa"/>
          <w:left w:w="108" w:type="dxa"/>
          <w:bottom w:w="0" w:type="dxa"/>
          <w:right w:w="108" w:type="dxa"/>
        </w:tblCellMar>
      </w:tblPr>
      <w:tblGrid>
        <w:gridCol w:w="3261"/>
        <w:gridCol w:w="6095"/>
      </w:tblGrid>
      <w:tr w14:paraId="37664065">
        <w:tblPrEx>
          <w:tblCellMar>
            <w:top w:w="0" w:type="dxa"/>
            <w:left w:w="108" w:type="dxa"/>
            <w:bottom w:w="0" w:type="dxa"/>
            <w:right w:w="108" w:type="dxa"/>
          </w:tblCellMar>
        </w:tblPrEx>
        <w:trPr>
          <w:trHeight w:val="209" w:hRule="atLeast"/>
        </w:trPr>
        <w:tc>
          <w:tcPr>
            <w:tcW w:w="3261" w:type="dxa"/>
          </w:tcPr>
          <w:p w14:paraId="3EFD5CE8">
            <w:pPr>
              <w:spacing w:line="252" w:lineRule="auto"/>
              <w:ind w:right="-67" w:hanging="108"/>
              <w:jc w:val="center"/>
              <w:rPr>
                <w:b/>
                <w:bCs/>
                <w:sz w:val="26"/>
                <w:lang w:val="es-ES"/>
              </w:rPr>
            </w:pPr>
            <w:bookmarkStart w:id="3" w:name="_GoBack"/>
            <w:bookmarkEnd w:id="3"/>
            <w:r>
              <w:rPr>
                <w:b/>
                <w:bCs/>
                <w:sz w:val="26"/>
                <w:lang w:val="es-ES"/>
              </w:rPr>
              <w:t>ỦY BAN NHÂN DÂN</w:t>
            </w:r>
          </w:p>
          <w:p w14:paraId="18E1FD3C">
            <w:pPr>
              <w:spacing w:line="252" w:lineRule="auto"/>
              <w:ind w:right="-67" w:hanging="108"/>
              <w:jc w:val="center"/>
              <w:rPr>
                <w:rFonts w:hint="default"/>
                <w:b/>
                <w:bCs/>
                <w:sz w:val="26"/>
                <w:lang w:val="en-US"/>
              </w:rPr>
            </w:pPr>
            <w:r>
              <w:rPr>
                <w:b/>
                <w:bCs/>
                <w:sz w:val="26"/>
                <w:lang w:val="es-ES"/>
              </w:rPr>
              <w:t>XÃ</w:t>
            </w:r>
            <w:r>
              <w:rPr>
                <w:rFonts w:hint="default"/>
                <w:b/>
                <w:bCs/>
                <w:sz w:val="26"/>
                <w:lang w:val="en-US"/>
              </w:rPr>
              <w:t xml:space="preserve"> BÙI LA NHÂN</w:t>
            </w:r>
          </w:p>
          <w:p w14:paraId="30BCAF2E">
            <w:pPr>
              <w:spacing w:line="252" w:lineRule="auto"/>
              <w:ind w:right="-67" w:hanging="108"/>
              <w:jc w:val="center"/>
              <w:rPr>
                <w:rFonts w:ascii="Arial" w:hAnsi="Arial" w:cs="Arial"/>
                <w:b/>
                <w:bCs/>
                <w:sz w:val="26"/>
                <w:lang w:val="es-ES"/>
              </w:rPr>
            </w:pPr>
            <w:r>
              <w:rPr>
                <w:sz w:val="26"/>
                <w:szCs w:val="26"/>
                <w:lang w:val="en-GB" w:eastAsia="en-GB"/>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25400</wp:posOffset>
                      </wp:positionV>
                      <wp:extent cx="622300" cy="0"/>
                      <wp:effectExtent l="0" t="0" r="25400" b="19050"/>
                      <wp:wrapNone/>
                      <wp:docPr id="367140845" name="Line 5"/>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ln>
                            </wps:spPr>
                            <wps:bodyPr/>
                          </wps:wsp>
                        </a:graphicData>
                      </a:graphic>
                    </wp:anchor>
                  </w:drawing>
                </mc:Choice>
                <mc:Fallback>
                  <w:pict>
                    <v:line id="Line 5" o:spid="_x0000_s1026" o:spt="20" style="position:absolute;left:0pt;margin-top:2pt;height:0pt;width:49pt;mso-position-horizontal:center;mso-position-horizontal-relative:margin;z-index:251660288;mso-width-relative:page;mso-height-relative:page;" filled="f" stroked="t" coordsize="21600,21600" o:gfxdata="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ud5brRAAAAAwEAAA8AAAAAAAAAAQAgAAAAIgAAAGRycy9k&#10;b3ducmV2LnhtbFBLAQIUABQAAAAIAIdO4kB3JbWs0AEAAKYDAAAOAAAAAAAAAAEAIAAAACABAABk&#10;cnMvZTJvRG9jLnhtbFBLBQYAAAAABgAGAFkBAABiBQAAAAA=&#10;">
                      <v:fill on="f" focussize="0,0"/>
                      <v:stroke color="#000000" joinstyle="round"/>
                      <v:imagedata o:title=""/>
                      <o:lock v:ext="edit" aspectratio="f"/>
                    </v:line>
                  </w:pict>
                </mc:Fallback>
              </mc:AlternateContent>
            </w:r>
          </w:p>
          <w:p w14:paraId="51993D05">
            <w:pPr>
              <w:spacing w:line="252" w:lineRule="auto"/>
              <w:jc w:val="center"/>
              <w:rPr>
                <w:sz w:val="26"/>
                <w:szCs w:val="26"/>
                <w:lang w:val="es-ES"/>
              </w:rPr>
            </w:pPr>
            <w:r>
              <w:rPr>
                <w:sz w:val="26"/>
                <w:szCs w:val="26"/>
                <w:lang w:val="es-ES"/>
              </w:rPr>
              <w:t xml:space="preserve">Số: </w:t>
            </w:r>
            <w:r>
              <w:rPr>
                <w:rFonts w:hint="default"/>
                <w:sz w:val="26"/>
                <w:szCs w:val="26"/>
                <w:lang w:val="en-US"/>
              </w:rPr>
              <w:t>100</w:t>
            </w:r>
            <w:r>
              <w:rPr>
                <w:sz w:val="26"/>
                <w:szCs w:val="26"/>
                <w:lang w:val="es-ES"/>
              </w:rPr>
              <w:t xml:space="preserve"> /QĐ-UBND</w:t>
            </w:r>
          </w:p>
          <w:p w14:paraId="7EC6C354">
            <w:pPr>
              <w:spacing w:line="252" w:lineRule="auto"/>
              <w:jc w:val="center"/>
              <w:rPr>
                <w:b/>
                <w:sz w:val="26"/>
                <w:szCs w:val="26"/>
                <w:lang w:val="es-ES"/>
              </w:rPr>
            </w:pPr>
          </w:p>
        </w:tc>
        <w:tc>
          <w:tcPr>
            <w:tcW w:w="6095" w:type="dxa"/>
          </w:tcPr>
          <w:p w14:paraId="2A40578A">
            <w:pPr>
              <w:spacing w:line="252" w:lineRule="auto"/>
              <w:ind w:left="-108" w:right="-108"/>
              <w:jc w:val="center"/>
              <w:rPr>
                <w:b/>
                <w:bCs/>
                <w:lang w:val="es-ES"/>
              </w:rPr>
            </w:pPr>
            <w:r>
              <w:rPr>
                <w:b/>
                <w:bCs/>
                <w:sz w:val="26"/>
                <w:lang w:val="es-ES"/>
              </w:rPr>
              <w:t>CỘNG HÒA XÃ HỘI CHỦ NGHĨA VIỆT NAM</w:t>
            </w:r>
          </w:p>
          <w:p w14:paraId="016B23E0">
            <w:pPr>
              <w:spacing w:line="252" w:lineRule="auto"/>
              <w:jc w:val="center"/>
              <w:rPr>
                <w:b/>
              </w:rPr>
            </w:pPr>
            <w:r>
              <w:rPr>
                <w:b/>
              </w:rPr>
              <w:t>Độc lập - Tự do - Hạnh phúc</w:t>
            </w:r>
          </w:p>
          <w:p w14:paraId="064BFA95">
            <w:pPr>
              <w:spacing w:line="252" w:lineRule="auto"/>
              <w:jc w:val="center"/>
              <w:rPr>
                <w:i/>
                <w:iCs/>
              </w:rPr>
            </w:pPr>
            <w:r>
              <w:rPr>
                <w:sz w:val="26"/>
                <w:lang w:val="en-GB" w:eastAsia="en-GB"/>
              </w:rPr>
              <mc:AlternateContent>
                <mc:Choice Requires="wps">
                  <w:drawing>
                    <wp:anchor distT="0" distB="0" distL="114300" distR="114300" simplePos="0" relativeHeight="251661312" behindDoc="0" locked="0" layoutInCell="1" allowOverlap="1">
                      <wp:simplePos x="0" y="0"/>
                      <wp:positionH relativeFrom="column">
                        <wp:posOffset>691515</wp:posOffset>
                      </wp:positionH>
                      <wp:positionV relativeFrom="paragraph">
                        <wp:posOffset>5715</wp:posOffset>
                      </wp:positionV>
                      <wp:extent cx="1975485" cy="0"/>
                      <wp:effectExtent l="0" t="0" r="5715" b="0"/>
                      <wp:wrapNone/>
                      <wp:docPr id="1635002422" name="Line 4"/>
                      <wp:cNvGraphicFramePr/>
                      <a:graphic xmlns:a="http://schemas.openxmlformats.org/drawingml/2006/main">
                        <a:graphicData uri="http://schemas.microsoft.com/office/word/2010/wordprocessingShape">
                          <wps:wsp>
                            <wps:cNvCnPr>
                              <a:cxnSpLocks noChangeShapeType="1"/>
                            </wps:cNvCnPr>
                            <wps:spPr bwMode="auto">
                              <a:xfrm flipV="1">
                                <a:off x="0" y="0"/>
                                <a:ext cx="1975485" cy="0"/>
                              </a:xfrm>
                              <a:prstGeom prst="line">
                                <a:avLst/>
                              </a:prstGeom>
                              <a:noFill/>
                              <a:ln w="9525">
                                <a:solidFill>
                                  <a:srgbClr val="000000"/>
                                </a:solidFill>
                                <a:round/>
                              </a:ln>
                            </wps:spPr>
                            <wps:bodyPr/>
                          </wps:wsp>
                        </a:graphicData>
                      </a:graphic>
                    </wp:anchor>
                  </w:drawing>
                </mc:Choice>
                <mc:Fallback>
                  <w:pict>
                    <v:line id="Line 4" o:spid="_x0000_s1026" o:spt="20" style="position:absolute;left:0pt;flip:y;margin-left:54.45pt;margin-top:0.45pt;height:0pt;width:155.55pt;z-index:251661312;mso-width-relative:page;mso-height-relative:page;" filled="f" stroked="t" coordsize="21600,21600" o:gfxdata="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9IwMdEAAAAFAQAADwAAAAAAAAABACAAAAAi&#10;AAAAZHJzL2Rvd25yZXYueG1sUEsBAhQAFAAAAAgAh07iQAaHOxjYAQAAsgMAAA4AAAAAAAAAAQAg&#10;AAAAIAEAAGRycy9lMm9Eb2MueG1sUEsFBgAAAAAGAAYAWQEAAGoFAAAAAA==&#10;">
                      <v:fill on="f" focussize="0,0"/>
                      <v:stroke color="#000000" joinstyle="round"/>
                      <v:imagedata o:title=""/>
                      <o:lock v:ext="edit" aspectratio="f"/>
                    </v:line>
                  </w:pict>
                </mc:Fallback>
              </mc:AlternateContent>
            </w:r>
          </w:p>
          <w:p w14:paraId="2BD8CE12">
            <w:pPr>
              <w:spacing w:line="252" w:lineRule="auto"/>
              <w:jc w:val="center"/>
              <w:rPr>
                <w:bCs/>
                <w:i/>
                <w:color w:val="000000" w:themeColor="text1"/>
                <w:lang w:val="es-ES"/>
                <w14:textFill>
                  <w14:solidFill>
                    <w14:schemeClr w14:val="tx1"/>
                  </w14:solidFill>
                </w14:textFill>
              </w:rPr>
            </w:pPr>
            <w:r>
              <w:rPr>
                <w:rFonts w:hint="default"/>
                <w:i/>
                <w:iCs/>
                <w:lang w:val="en-US"/>
              </w:rPr>
              <w:t>Bùi La Nhân</w:t>
            </w:r>
            <w:r>
              <w:rPr>
                <w:i/>
                <w:iCs/>
              </w:rPr>
              <w:t xml:space="preserve">, ngày </w:t>
            </w:r>
            <w:r>
              <w:rPr>
                <w:rFonts w:hint="default"/>
                <w:i/>
                <w:iCs/>
                <w:lang w:val="en-US"/>
              </w:rPr>
              <w:t>27</w:t>
            </w:r>
            <w:r>
              <w:rPr>
                <w:i/>
                <w:iCs/>
              </w:rPr>
              <w:t xml:space="preserve"> tháng </w:t>
            </w:r>
            <w:r>
              <w:rPr>
                <w:rFonts w:hint="default"/>
                <w:i/>
                <w:iCs/>
                <w:lang w:val="en-US"/>
              </w:rPr>
              <w:t>6</w:t>
            </w:r>
            <w:r>
              <w:rPr>
                <w:i/>
                <w:iCs/>
              </w:rPr>
              <w:t xml:space="preserve"> năm 2024</w:t>
            </w:r>
          </w:p>
        </w:tc>
      </w:tr>
    </w:tbl>
    <w:p w14:paraId="68C1318D">
      <w:pPr>
        <w:spacing w:after="120" w:line="252" w:lineRule="auto"/>
        <w:jc w:val="center"/>
        <w:rPr>
          <w:b/>
          <w:color w:val="000000" w:themeColor="text1"/>
          <w:lang w:val="es-ES"/>
          <w14:textFill>
            <w14:solidFill>
              <w14:schemeClr w14:val="tx1"/>
            </w14:solidFill>
          </w14:textFill>
        </w:rPr>
      </w:pPr>
    </w:p>
    <w:p w14:paraId="5696E210">
      <w:pPr>
        <w:pStyle w:val="5"/>
        <w:spacing w:before="40" w:line="252" w:lineRule="auto"/>
        <w:jc w:val="center"/>
        <w:rPr>
          <w:rFonts w:hint="default" w:ascii="Times New Roman" w:hAnsi="Times New Roman"/>
          <w:bCs/>
          <w:color w:val="000000" w:themeColor="text1"/>
          <w:szCs w:val="28"/>
          <w:lang w:val="en-US"/>
          <w14:textFill>
            <w14:solidFill>
              <w14:schemeClr w14:val="tx1"/>
            </w14:solidFill>
          </w14:textFill>
        </w:rPr>
      </w:pPr>
      <w:r>
        <w:rPr>
          <w:rFonts w:ascii="Times New Roman" w:hAnsi="Times New Roman"/>
          <w:color w:val="000000" w:themeColor="text1"/>
          <w:lang w:val="es-ES"/>
          <w14:textFill>
            <w14:solidFill>
              <w14:schemeClr w14:val="tx1"/>
            </w14:solidFill>
          </w14:textFill>
        </w:rPr>
        <w:t>QUYẾT ĐỊNH</w:t>
      </w:r>
      <w:r>
        <w:rPr>
          <w:rFonts w:ascii="Times New Roman" w:hAnsi="Times New Roman"/>
          <w:color w:val="000000" w:themeColor="text1"/>
          <w:lang w:val="es-ES"/>
          <w14:textFill>
            <w14:solidFill>
              <w14:schemeClr w14:val="tx1"/>
            </w14:solidFill>
          </w14:textFill>
        </w:rPr>
        <w:br w:type="textWrapping"/>
      </w:r>
      <w:r>
        <w:rPr>
          <w:rFonts w:ascii="Times New Roman Bold" w:hAnsi="Times New Roman Bold"/>
          <w:color w:val="000000" w:themeColor="text1"/>
          <w:szCs w:val="28"/>
          <w:lang w:val="es-ES"/>
          <w14:textFill>
            <w14:solidFill>
              <w14:schemeClr w14:val="tx1"/>
            </w14:solidFill>
          </w14:textFill>
        </w:rPr>
        <w:t xml:space="preserve">V/v phê duyệt kế hoạch lựa chọn nhà thầu </w:t>
      </w:r>
      <w:bookmarkStart w:id="0" w:name="_Hlk168300196"/>
      <w:r>
        <w:rPr>
          <w:rFonts w:ascii="Times New Roman Bold" w:hAnsi="Times New Roman Bold"/>
          <w:color w:val="000000" w:themeColor="text1"/>
          <w:szCs w:val="28"/>
          <w:lang w:val="es-ES"/>
          <w14:textFill>
            <w14:solidFill>
              <w14:schemeClr w14:val="tx1"/>
            </w14:solidFill>
          </w14:textFill>
        </w:rPr>
        <w:t xml:space="preserve">dự toán mua sắm xi măng       thực hiện Kế hoạch làm đường giao thông, rãnh thoát nước, kênh mương nội đồng năm 2024 trên địa bàn xã </w:t>
      </w:r>
      <w:bookmarkEnd w:id="0"/>
      <w:r>
        <w:rPr>
          <w:rFonts w:hint="default" w:ascii="Times New Roman Bold" w:hAnsi="Times New Roman Bold"/>
          <w:color w:val="000000" w:themeColor="text1"/>
          <w:szCs w:val="28"/>
          <w:lang w:val="en-US"/>
          <w14:textFill>
            <w14:solidFill>
              <w14:schemeClr w14:val="tx1"/>
            </w14:solidFill>
          </w14:textFill>
        </w:rPr>
        <w:t>Bùi La Nhân</w:t>
      </w:r>
    </w:p>
    <w:p w14:paraId="756B529B">
      <w:pPr>
        <w:pStyle w:val="5"/>
        <w:spacing w:line="252" w:lineRule="auto"/>
        <w:jc w:val="center"/>
        <w:rPr>
          <w:rFonts w:ascii="Times New Roman" w:hAnsi="Times New Roman"/>
          <w:bCs/>
          <w:color w:val="000000" w:themeColor="text1"/>
          <w:szCs w:val="28"/>
          <w:lang w:val="es-ES"/>
          <w14:textFill>
            <w14:solidFill>
              <w14:schemeClr w14:val="tx1"/>
            </w14:solidFill>
          </w14:textFill>
        </w:rPr>
      </w:pPr>
      <w:r>
        <w:rPr>
          <w:b w:val="0"/>
          <w:color w:val="000000" w:themeColor="text1"/>
          <w:lang w:val="en-GB" w:eastAsia="en-GB"/>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39370</wp:posOffset>
                </wp:positionV>
                <wp:extent cx="1019175" cy="0"/>
                <wp:effectExtent l="0" t="0" r="9525" b="19050"/>
                <wp:wrapNone/>
                <wp:docPr id="6" name="Line 11"/>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top:3.1pt;height:0pt;width:80.25pt;mso-position-horizontal:center;mso-position-horizontal-relative:margin;z-index:251659264;mso-width-relative:page;mso-height-relative:page;" filled="f" stroked="t" coordsize="21600,21600" o:gfxdata="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g2J4HdEAAAAEAQAADwAAAAAAAAABACAAAAAiAAAAZHJzL2Rvd25yZXYu&#10;eG1sUEsBAhQAFAAAAAgAh07iQOhRuVvJAQAAoAMAAA4AAAAAAAAAAQAgAAAAIAEAAGRycy9lMm9E&#10;b2MueG1sUEsFBgAAAAAGAAYAWQEAAFsFAAAAAA==&#10;">
                <v:fill on="f" focussize="0,0"/>
                <v:stroke color="#000000" joinstyle="round"/>
                <v:imagedata o:title=""/>
                <o:lock v:ext="edit" aspectratio="f"/>
              </v:line>
            </w:pict>
          </mc:Fallback>
        </mc:AlternateContent>
      </w:r>
    </w:p>
    <w:p w14:paraId="314CF97F">
      <w:pPr>
        <w:spacing w:after="120" w:line="252" w:lineRule="auto"/>
        <w:jc w:val="center"/>
        <w:rPr>
          <w:rFonts w:hint="default"/>
          <w:b/>
          <w:color w:val="000000" w:themeColor="text1"/>
          <w:lang w:val="en-US"/>
          <w14:textFill>
            <w14:solidFill>
              <w14:schemeClr w14:val="tx1"/>
            </w14:solidFill>
          </w14:textFill>
        </w:rPr>
      </w:pPr>
      <w:r>
        <w:rPr>
          <w:b/>
          <w:color w:val="000000" w:themeColor="text1"/>
          <w:lang w:val="sv-SE"/>
          <w14:textFill>
            <w14:solidFill>
              <w14:schemeClr w14:val="tx1"/>
            </w14:solidFill>
          </w14:textFill>
        </w:rPr>
        <w:t xml:space="preserve">CHỦ TỊCH UBND XÃ </w:t>
      </w:r>
      <w:r>
        <w:rPr>
          <w:rFonts w:hint="default"/>
          <w:b/>
          <w:color w:val="000000" w:themeColor="text1"/>
          <w:lang w:val="en-US"/>
          <w14:textFill>
            <w14:solidFill>
              <w14:schemeClr w14:val="tx1"/>
            </w14:solidFill>
          </w14:textFill>
        </w:rPr>
        <w:t>BÙI LA NHÂN</w:t>
      </w:r>
    </w:p>
    <w:p w14:paraId="710C5A45">
      <w:pPr>
        <w:spacing w:before="120" w:line="252" w:lineRule="auto"/>
        <w:ind w:firstLine="851"/>
        <w:jc w:val="both"/>
        <w:rPr>
          <w:b/>
          <w:color w:val="000000" w:themeColor="text1"/>
          <w:lang w:val="sv-SE"/>
          <w14:textFill>
            <w14:solidFill>
              <w14:schemeClr w14:val="tx1"/>
            </w14:solidFill>
          </w14:textFill>
        </w:rPr>
      </w:pPr>
    </w:p>
    <w:p w14:paraId="01F000CE">
      <w:pPr>
        <w:spacing w:before="120" w:line="252" w:lineRule="auto"/>
        <w:ind w:firstLine="709"/>
        <w:jc w:val="both"/>
        <w:rPr>
          <w:i/>
          <w:lang w:val="sv-SE"/>
        </w:rPr>
      </w:pPr>
      <w:r>
        <w:rPr>
          <w:i/>
          <w:lang w:val="sv-SE"/>
        </w:rPr>
        <w:t>Căn cứ Luật Đấu thầu ngày 23 tháng 6 năm 2023;</w:t>
      </w:r>
    </w:p>
    <w:p w14:paraId="6F5B9C80">
      <w:pPr>
        <w:spacing w:before="120" w:line="252" w:lineRule="auto"/>
        <w:ind w:firstLine="709"/>
        <w:jc w:val="both"/>
        <w:rPr>
          <w:i/>
          <w:lang w:val="sv-SE"/>
        </w:rPr>
      </w:pPr>
      <w:r>
        <w:rPr>
          <w:i/>
          <w:lang w:val="sv-SE"/>
        </w:rPr>
        <w:t xml:space="preserve">Căn cứ Nghị định số 24/2024/NĐ-CP ngày 27/02/2024 của Chính phủ quy định chi tiết một số điều và biện pháp thi hành Luật Đấu thầu; lựa chọn nhà thầu; </w:t>
      </w:r>
    </w:p>
    <w:p w14:paraId="288FC726">
      <w:pPr>
        <w:spacing w:before="120" w:line="252" w:lineRule="auto"/>
        <w:ind w:firstLine="709"/>
        <w:jc w:val="both"/>
        <w:rPr>
          <w:i/>
          <w:lang w:val="sv-SE"/>
        </w:rPr>
      </w:pPr>
      <w:r>
        <w:rPr>
          <w:i/>
          <w:lang w:val="sv-SE"/>
        </w:rPr>
        <w:t>Căn cứ Nghị định số 151/2017/NĐ-CP ngày 26/12/2017 của Chính phủ quy định chi tiết một số điều của Luật quản lý, sử dụng tài sản công;</w:t>
      </w:r>
    </w:p>
    <w:p w14:paraId="2ED7D5E5">
      <w:pPr>
        <w:spacing w:before="120" w:line="252" w:lineRule="auto"/>
        <w:ind w:firstLine="709"/>
        <w:jc w:val="both"/>
        <w:rPr>
          <w:i/>
          <w:lang w:val="sv-SE"/>
        </w:rPr>
      </w:pPr>
      <w:r>
        <w:rPr>
          <w:i/>
          <w:lang w:val="sv-SE"/>
        </w:rPr>
        <w:t>Căn cứ Thông tư số 06/2024/TT-BKHĐT ngày 26/4/2024 của Bộ Kế hoạch và Đầu tư hướng dẫn việc cung cấp, đăng tải thông tin về lựa chọn nhà thầu và mẫu hồ sơ đấu thầu trên Hệ thống mạng đấu thầu quốc gia;</w:t>
      </w:r>
    </w:p>
    <w:p w14:paraId="29358AE9">
      <w:pPr>
        <w:spacing w:before="120" w:line="252" w:lineRule="auto"/>
        <w:ind w:firstLine="709"/>
        <w:jc w:val="both"/>
        <w:rPr>
          <w:i/>
          <w:lang w:val="sv-SE"/>
        </w:rPr>
      </w:pPr>
      <w:r>
        <w:rPr>
          <w:i/>
          <w:lang w:val="sv-SE"/>
        </w:rPr>
        <w:t>Căn cứ Nghị quyết số 103/2023/NQ-HĐND ngày 14/7/2023 của HĐND tỉnh quy định về phân cấp quản lý tài sản công trên địa bàn tỉnh Hà Tĩnh;</w:t>
      </w:r>
    </w:p>
    <w:p w14:paraId="061EC286">
      <w:pPr>
        <w:spacing w:before="120" w:line="252" w:lineRule="auto"/>
        <w:ind w:firstLine="709"/>
        <w:jc w:val="both"/>
        <w:rPr>
          <w:i/>
          <w:lang w:val="sv-SE"/>
        </w:rPr>
      </w:pPr>
      <w:r>
        <w:rPr>
          <w:i/>
          <w:lang w:val="sv-SE"/>
        </w:rPr>
        <w:t>Căn cứ Nghị quyết số 44/2021/NQ-HĐND ngày 16/12/2021 của HĐND tỉnh về một số cơ chế, chính sách hỗ trợ tạo nguồn lực xây dựng thành công tỉnh Hà Tĩnh đạt chuẩn nông thôn mới, giai đoạn năm 2022 - 2026; Nghị quyết số 124/2024/NQ-HĐND ngày 04/5/2024 của HĐND tỉnh quy định sửa đổi, bổ sung một số nội dung tại Phụ lục ban hành kèm theo Nghị quyết số 44/2021/NQ-HĐND ngày 16/12/2021 của HĐND tỉnh về một số cơ chế, chính sách hỗ trợ tạo nguồn lực xây dựng thành công tỉnh Hà Tĩnh đạt chuẩn nông thôn mới, giai đoạn năm 2022 - 2026;</w:t>
      </w:r>
    </w:p>
    <w:p w14:paraId="651932CB">
      <w:pPr>
        <w:spacing w:before="120" w:line="252" w:lineRule="auto"/>
        <w:ind w:firstLine="709"/>
        <w:jc w:val="both"/>
        <w:rPr>
          <w:i/>
          <w:lang w:val="sv-SE"/>
        </w:rPr>
      </w:pPr>
      <w:r>
        <w:rPr>
          <w:i/>
          <w:lang w:val="sv-SE"/>
        </w:rPr>
        <w:t xml:space="preserve">Căn cứ Quyết định số </w:t>
      </w:r>
      <w:r>
        <w:rPr>
          <w:rFonts w:hint="default"/>
          <w:i/>
          <w:lang w:val="en-US"/>
        </w:rPr>
        <w:t>98</w:t>
      </w:r>
      <w:r>
        <w:rPr>
          <w:i/>
          <w:lang w:val="sv-SE"/>
        </w:rPr>
        <w:t xml:space="preserve">/QĐ-UBND ngày </w:t>
      </w:r>
      <w:r>
        <w:rPr>
          <w:rFonts w:hint="default"/>
          <w:i/>
          <w:lang w:val="en-US"/>
        </w:rPr>
        <w:t xml:space="preserve">25/6/2024 </w:t>
      </w:r>
      <w:r>
        <w:rPr>
          <w:i/>
          <w:lang w:val="sv-SE"/>
        </w:rPr>
        <w:t xml:space="preserve">của UBND xã </w:t>
      </w:r>
      <w:r>
        <w:rPr>
          <w:rFonts w:hint="default"/>
          <w:i/>
          <w:lang w:val="en-US"/>
        </w:rPr>
        <w:t>Bùi La Nhân</w:t>
      </w:r>
      <w:r>
        <w:rPr>
          <w:i/>
          <w:lang w:val="sv-SE"/>
        </w:rPr>
        <w:t xml:space="preserve"> về việc giao nhiệm vụ trình, thẩm định kế hoạch lựa chọn nhà thầu Gói thầu mua sắm xi măng thực hiện Kế hoạch làm đường giao thông, rãnh thoát nước, kênh mương nội đồng năm 2024 trên địa bàn xã </w:t>
      </w:r>
      <w:r>
        <w:rPr>
          <w:rFonts w:hint="default"/>
          <w:i/>
          <w:lang w:val="en-US"/>
        </w:rPr>
        <w:t>Bùi La Nhân</w:t>
      </w:r>
      <w:r>
        <w:rPr>
          <w:i/>
          <w:lang w:val="sv-SE"/>
        </w:rPr>
        <w:t>;</w:t>
      </w:r>
    </w:p>
    <w:p w14:paraId="66602788">
      <w:pPr>
        <w:spacing w:before="60" w:line="252" w:lineRule="auto"/>
        <w:ind w:firstLine="720"/>
        <w:jc w:val="both"/>
        <w:rPr>
          <w:rFonts w:ascii="Times New Roman" w:hAnsi="Times New Roman" w:eastAsia="Times New Roman" w:cs="Times New Roman"/>
          <w:color w:val="000000"/>
          <w:lang w:val="en-US"/>
        </w:rPr>
      </w:pPr>
      <w:r>
        <w:rPr>
          <w:rFonts w:ascii="Times New Roman" w:hAnsi="Times New Roman" w:eastAsia="Times New Roman" w:cs="Times New Roman"/>
          <w:color w:val="000000"/>
          <w:lang w:val="de-DE"/>
        </w:rPr>
        <w:t xml:space="preserve">Căn cứ </w:t>
      </w:r>
      <w:bookmarkStart w:id="1" w:name="_Hlk169189356"/>
      <w:r>
        <w:rPr>
          <w:rFonts w:ascii="Times New Roman" w:hAnsi="Times New Roman" w:eastAsia="Times New Roman" w:cs="Times New Roman"/>
          <w:color w:val="000000"/>
          <w:lang w:val="de-DE"/>
        </w:rPr>
        <w:t xml:space="preserve">Báo giá xi măng bao PCB40 ngày </w:t>
      </w:r>
      <w:r>
        <w:rPr>
          <w:rFonts w:hint="default" w:ascii="Times New Roman" w:hAnsi="Times New Roman" w:eastAsia="Times New Roman" w:cs="Times New Roman"/>
          <w:color w:val="000000"/>
          <w:lang w:val="en-US"/>
        </w:rPr>
        <w:t>20/6</w:t>
      </w:r>
      <w:r>
        <w:rPr>
          <w:rFonts w:ascii="Times New Roman" w:hAnsi="Times New Roman" w:eastAsia="Times New Roman" w:cs="Times New Roman"/>
          <w:color w:val="000000"/>
          <w:lang w:val="de-DE"/>
        </w:rPr>
        <w:t>/2024 của Công ty CPXD &amp; DVTM Sơn Hải</w:t>
      </w:r>
      <w:r>
        <w:rPr>
          <w:rFonts w:ascii="Times New Roman" w:hAnsi="Times New Roman" w:eastAsia="Times New Roman" w:cs="Times New Roman"/>
          <w:color w:val="000000"/>
          <w:lang w:val="en-US"/>
        </w:rPr>
        <w:t>.</w:t>
      </w:r>
      <w:bookmarkEnd w:id="1"/>
    </w:p>
    <w:p w14:paraId="5FD9667A">
      <w:pPr>
        <w:spacing w:before="60" w:line="252" w:lineRule="auto"/>
        <w:ind w:firstLine="720"/>
        <w:jc w:val="both"/>
        <w:rPr>
          <w:rFonts w:ascii="Times New Roman" w:hAnsi="Times New Roman" w:eastAsia="Times New Roman" w:cs="Times New Roman"/>
          <w:color w:val="000000"/>
          <w:lang w:val="es-ES"/>
        </w:rPr>
      </w:pPr>
      <w:r>
        <w:rPr>
          <w:rFonts w:ascii="Times New Roman" w:hAnsi="Times New Roman" w:eastAsia="Times New Roman" w:cs="Times New Roman"/>
          <w:color w:val="000000"/>
          <w:lang w:val="de-DE"/>
        </w:rPr>
        <w:t xml:space="preserve">Căn cứ Báo giá xi măng bao PCB40 ngày </w:t>
      </w:r>
      <w:r>
        <w:rPr>
          <w:rFonts w:hint="default" w:ascii="Times New Roman" w:hAnsi="Times New Roman" w:eastAsia="Times New Roman" w:cs="Times New Roman"/>
          <w:color w:val="000000"/>
          <w:lang w:val="en-US"/>
        </w:rPr>
        <w:t>20/6</w:t>
      </w:r>
      <w:r>
        <w:rPr>
          <w:rFonts w:ascii="Times New Roman" w:hAnsi="Times New Roman" w:eastAsia="Times New Roman" w:cs="Times New Roman"/>
          <w:color w:val="000000"/>
          <w:lang w:val="de-DE"/>
        </w:rPr>
        <w:t xml:space="preserve">/2024 của Công ty </w:t>
      </w:r>
      <w:r>
        <w:rPr>
          <w:rFonts w:hint="default" w:ascii="Times New Roman" w:hAnsi="Times New Roman" w:eastAsia="Times New Roman" w:cs="Times New Roman"/>
          <w:color w:val="000000"/>
          <w:lang w:val="en-US"/>
        </w:rPr>
        <w:t>TNHH Thương Mại và dịch vụ vận tải Viết Hải</w:t>
      </w:r>
    </w:p>
    <w:p w14:paraId="31F63AB2">
      <w:pPr>
        <w:widowControl w:val="0"/>
        <w:spacing w:before="120" w:line="252" w:lineRule="auto"/>
        <w:ind w:firstLine="709"/>
        <w:jc w:val="both"/>
        <w:rPr>
          <w:rFonts w:hint="default" w:ascii="Times New Roman" w:hAnsi="Times New Roman" w:eastAsia="Times New Roman" w:cs="Times New Roman"/>
          <w:color w:val="000000"/>
          <w:lang w:val="en-US"/>
        </w:rPr>
      </w:pPr>
      <w:r>
        <w:rPr>
          <w:iCs/>
          <w:spacing w:val="-2"/>
          <w:lang w:val="sv-SE"/>
        </w:rPr>
        <w:t>Trên cơ sở đề nghị của Tổ số 01 tại Tờ trình</w:t>
      </w:r>
      <w:r>
        <w:rPr>
          <w:rFonts w:ascii="Times New Roman" w:hAnsi="Times New Roman" w:eastAsia="Times New Roman" w:cs="Times New Roman"/>
          <w:color w:val="000000"/>
          <w:lang w:val="sv-SE"/>
        </w:rPr>
        <w:t xml:space="preserve"> số </w:t>
      </w:r>
      <w:r>
        <w:rPr>
          <w:rFonts w:hint="default" w:ascii="Times New Roman" w:hAnsi="Times New Roman" w:eastAsia="Times New Roman" w:cs="Times New Roman"/>
          <w:color w:val="000000"/>
          <w:lang w:val="en-US"/>
        </w:rPr>
        <w:t>02</w:t>
      </w:r>
      <w:r>
        <w:rPr>
          <w:rFonts w:ascii="Times New Roman" w:hAnsi="Times New Roman" w:eastAsia="Times New Roman" w:cs="Times New Roman"/>
          <w:color w:val="000000"/>
          <w:lang w:val="sv-SE"/>
        </w:rPr>
        <w:t xml:space="preserve">/TTr-T01 ngày </w:t>
      </w:r>
      <w:r>
        <w:rPr>
          <w:rFonts w:hint="default" w:ascii="Times New Roman" w:hAnsi="Times New Roman" w:eastAsia="Times New Roman" w:cs="Times New Roman"/>
          <w:color w:val="000000"/>
          <w:lang w:val="en-US"/>
        </w:rPr>
        <w:t>26</w:t>
      </w:r>
      <w:r>
        <w:rPr>
          <w:rFonts w:ascii="Times New Roman" w:hAnsi="Times New Roman" w:eastAsia="Times New Roman" w:cs="Times New Roman"/>
          <w:color w:val="000000"/>
          <w:lang w:val="sv-SE"/>
        </w:rPr>
        <w:t xml:space="preserve">/6/2024; Báo cáo thẩm định số </w:t>
      </w:r>
      <w:r>
        <w:rPr>
          <w:rFonts w:hint="default" w:ascii="Times New Roman" w:hAnsi="Times New Roman" w:eastAsia="Times New Roman" w:cs="Times New Roman"/>
          <w:color w:val="000000"/>
          <w:lang w:val="en-US"/>
        </w:rPr>
        <w:t>02</w:t>
      </w:r>
      <w:r>
        <w:rPr>
          <w:rFonts w:ascii="Times New Roman" w:hAnsi="Times New Roman" w:eastAsia="Times New Roman" w:cs="Times New Roman"/>
          <w:color w:val="000000"/>
          <w:lang w:val="sv-SE"/>
        </w:rPr>
        <w:t xml:space="preserve">/BC-T02 ngày </w:t>
      </w:r>
      <w:r>
        <w:rPr>
          <w:rFonts w:hint="default" w:ascii="Times New Roman" w:hAnsi="Times New Roman" w:eastAsia="Times New Roman" w:cs="Times New Roman"/>
          <w:color w:val="000000"/>
          <w:lang w:val="en-US"/>
        </w:rPr>
        <w:t>26</w:t>
      </w:r>
      <w:r>
        <w:rPr>
          <w:rFonts w:ascii="Times New Roman" w:hAnsi="Times New Roman" w:eastAsia="Times New Roman" w:cs="Times New Roman"/>
          <w:color w:val="000000"/>
          <w:lang w:val="sv-SE"/>
        </w:rPr>
        <w:t xml:space="preserve">/6/2024 của Tổ số 02 về việc phê duyệt kế hoạch lựa chọn nhà thầu dự toán mua sắm xi măng thực hiện Kế hoạch làm đường giao thông, rãnh thoát nước, kênh mương nội đồng năm 2024 trên địa bàn xã </w:t>
      </w:r>
      <w:r>
        <w:rPr>
          <w:rFonts w:hint="default" w:ascii="Times New Roman" w:hAnsi="Times New Roman" w:eastAsia="Times New Roman" w:cs="Times New Roman"/>
          <w:color w:val="000000"/>
          <w:lang w:val="en-US"/>
        </w:rPr>
        <w:t>Bùi La Nhân</w:t>
      </w:r>
    </w:p>
    <w:p w14:paraId="4E368CD0">
      <w:pPr>
        <w:spacing w:before="360" w:after="360" w:line="252" w:lineRule="auto"/>
        <w:jc w:val="center"/>
        <w:rPr>
          <w:b/>
          <w:color w:val="000000" w:themeColor="text1"/>
          <w:lang w:val="vi-VN"/>
          <w14:textFill>
            <w14:solidFill>
              <w14:schemeClr w14:val="tx1"/>
            </w14:solidFill>
          </w14:textFill>
        </w:rPr>
      </w:pPr>
      <w:r>
        <w:rPr>
          <w:b/>
          <w:color w:val="000000" w:themeColor="text1"/>
          <w:lang w:val="vi-VN"/>
          <w14:textFill>
            <w14:solidFill>
              <w14:schemeClr w14:val="tx1"/>
            </w14:solidFill>
          </w14:textFill>
        </w:rPr>
        <w:t>QUYẾT ĐỊNH:</w:t>
      </w:r>
    </w:p>
    <w:p w14:paraId="1DC4F2B6">
      <w:pPr>
        <w:spacing w:before="120" w:line="252" w:lineRule="auto"/>
        <w:ind w:firstLine="720"/>
        <w:jc w:val="both"/>
        <w:rPr>
          <w:lang w:val="sv-SE"/>
        </w:rPr>
      </w:pPr>
      <w:r>
        <w:rPr>
          <w:b/>
          <w:bCs/>
          <w:lang w:val="sv-SE"/>
        </w:rPr>
        <w:t>Điều 1.</w:t>
      </w:r>
      <w:r>
        <w:rPr>
          <w:lang w:val="sv-SE"/>
        </w:rPr>
        <w:t xml:space="preserve"> Phê duyệt kế hoạch lựa chọn nhà thầu dự toán mua sắm xi măng thực hiện Kế hoạch làm đường giao thông, rãnh thoát nước, kênh mương nội đồng năm 2024 trên địa bàn xã</w:t>
      </w:r>
      <w:r>
        <w:rPr>
          <w:rFonts w:hint="default"/>
          <w:lang w:val="en-US"/>
        </w:rPr>
        <w:t xml:space="preserve"> Bùi La Nhân</w:t>
      </w:r>
      <w:r>
        <w:rPr>
          <w:lang w:val="pt-BR"/>
        </w:rPr>
        <w:t>,</w:t>
      </w:r>
      <w:r>
        <w:rPr>
          <w:lang w:val="sv-SE"/>
        </w:rPr>
        <w:t xml:space="preserve"> với các nội dung chi tiết tại phụ lục đính kèm.</w:t>
      </w:r>
    </w:p>
    <w:p w14:paraId="27A00038">
      <w:pPr>
        <w:spacing w:before="120" w:line="252" w:lineRule="auto"/>
        <w:jc w:val="both"/>
        <w:rPr>
          <w:lang w:val="sv-SE"/>
        </w:rPr>
      </w:pPr>
      <w:r>
        <w:rPr>
          <w:lang w:val="sv-SE"/>
        </w:rPr>
        <w:tab/>
      </w:r>
      <w:r>
        <w:rPr>
          <w:b/>
          <w:lang w:val="sv-SE"/>
        </w:rPr>
        <w:t xml:space="preserve">Điều 2. </w:t>
      </w:r>
      <w:r>
        <w:rPr>
          <w:lang w:val="pt-BR"/>
        </w:rPr>
        <w:t xml:space="preserve">UBND xã </w:t>
      </w:r>
      <w:r>
        <w:rPr>
          <w:rFonts w:hint="default"/>
          <w:lang w:val="en-US"/>
        </w:rPr>
        <w:t>Bùi La Nhân</w:t>
      </w:r>
      <w:r>
        <w:rPr>
          <w:lang w:val="sv-SE"/>
        </w:rPr>
        <w:t xml:space="preserve"> chịu trách nhiệm tổ chức lựa chọn nhà thầu theo kế hoạch lựa chọn nhà thầu được duyệt đảm bảo tuân thủ các quy định hiện hành.</w:t>
      </w:r>
    </w:p>
    <w:p w14:paraId="40351E7D">
      <w:pPr>
        <w:spacing w:before="120" w:line="252" w:lineRule="auto"/>
        <w:jc w:val="both"/>
        <w:rPr>
          <w:lang w:val="sv-SE"/>
        </w:rPr>
      </w:pPr>
      <w:r>
        <w:rPr>
          <w:b/>
          <w:bCs/>
          <w:lang w:val="sv-SE"/>
        </w:rPr>
        <w:tab/>
      </w:r>
      <w:r>
        <w:rPr>
          <w:b/>
          <w:bCs/>
          <w:lang w:val="sv-SE"/>
        </w:rPr>
        <w:t>Điều 3.</w:t>
      </w:r>
      <w:r>
        <w:rPr>
          <w:lang w:val="sv-SE"/>
        </w:rPr>
        <w:t xml:space="preserve"> Quyết </w:t>
      </w:r>
      <w:r>
        <w:rPr>
          <w:rFonts w:hint="eastAsia"/>
          <w:lang w:val="sv-SE"/>
        </w:rPr>
        <w:t>đ</w:t>
      </w:r>
      <w:r>
        <w:rPr>
          <w:lang w:val="sv-SE"/>
        </w:rPr>
        <w:t>ịnh này có hiệu lực kể từ ngày ký.</w:t>
      </w:r>
    </w:p>
    <w:p w14:paraId="50DF7973">
      <w:pPr>
        <w:spacing w:before="120" w:line="252" w:lineRule="auto"/>
        <w:ind w:firstLine="720"/>
        <w:jc w:val="both"/>
        <w:rPr>
          <w:lang w:val="sv-SE"/>
        </w:rPr>
      </w:pPr>
      <w:r>
        <w:rPr>
          <w:color w:val="000000" w:themeColor="text1"/>
          <w:lang w:val="sv-SE"/>
          <w14:textFill>
            <w14:solidFill>
              <w14:schemeClr w14:val="tx1"/>
            </w14:solidFill>
          </w14:textFill>
        </w:rPr>
        <w:t>UBND</w:t>
      </w:r>
      <w:r>
        <w:rPr>
          <w:lang w:val="sv-SE"/>
        </w:rPr>
        <w:t xml:space="preserve"> xã </w:t>
      </w:r>
      <w:r>
        <w:rPr>
          <w:rFonts w:hint="default"/>
          <w:lang w:val="en-US"/>
        </w:rPr>
        <w:t>Bùi La Nhân</w:t>
      </w:r>
      <w:r>
        <w:rPr>
          <w:lang w:val="sv-SE"/>
        </w:rPr>
        <w:t xml:space="preserve">; </w:t>
      </w:r>
      <w:r>
        <w:rPr>
          <w:color w:val="000000" w:themeColor="text1"/>
          <w:lang w:val="sv-SE"/>
          <w14:textFill>
            <w14:solidFill>
              <w14:schemeClr w14:val="tx1"/>
            </w14:solidFill>
          </w14:textFill>
        </w:rPr>
        <w:t>các cá nhân, tổ chức liên quan chịu trách nhiệm thi hành Quyết định này./.</w:t>
      </w:r>
    </w:p>
    <w:p w14:paraId="28431B07">
      <w:pPr>
        <w:spacing w:after="120" w:line="252" w:lineRule="auto"/>
        <w:jc w:val="both"/>
        <w:rPr>
          <w:color w:val="000000" w:themeColor="text1"/>
          <w:lang w:val="sv-SE"/>
          <w14:textFill>
            <w14:solidFill>
              <w14:schemeClr w14:val="tx1"/>
            </w14:solidFill>
          </w14:textFill>
        </w:rPr>
      </w:pPr>
    </w:p>
    <w:tbl>
      <w:tblPr>
        <w:tblStyle w:val="3"/>
        <w:tblW w:w="9394" w:type="dxa"/>
        <w:tblInd w:w="-72" w:type="dxa"/>
        <w:tblLayout w:type="autofit"/>
        <w:tblCellMar>
          <w:top w:w="0" w:type="dxa"/>
          <w:left w:w="108" w:type="dxa"/>
          <w:bottom w:w="0" w:type="dxa"/>
          <w:right w:w="108" w:type="dxa"/>
        </w:tblCellMar>
      </w:tblPr>
      <w:tblGrid>
        <w:gridCol w:w="4716"/>
        <w:gridCol w:w="4678"/>
      </w:tblGrid>
      <w:tr w14:paraId="49DB933E">
        <w:tblPrEx>
          <w:tblCellMar>
            <w:top w:w="0" w:type="dxa"/>
            <w:left w:w="108" w:type="dxa"/>
            <w:bottom w:w="0" w:type="dxa"/>
            <w:right w:w="108" w:type="dxa"/>
          </w:tblCellMar>
        </w:tblPrEx>
        <w:tc>
          <w:tcPr>
            <w:tcW w:w="4716" w:type="dxa"/>
          </w:tcPr>
          <w:p w14:paraId="3170A4C0">
            <w:pPr>
              <w:spacing w:line="252" w:lineRule="auto"/>
              <w:jc w:val="both"/>
              <w:rPr>
                <w:b/>
                <w:bCs/>
                <w:i/>
                <w:iCs/>
                <w:color w:val="000000" w:themeColor="text1"/>
                <w:sz w:val="24"/>
                <w:szCs w:val="24"/>
                <w:lang w:val="sv-SE"/>
                <w14:textFill>
                  <w14:solidFill>
                    <w14:schemeClr w14:val="tx1"/>
                  </w14:solidFill>
                </w14:textFill>
              </w:rPr>
            </w:pPr>
            <w:r>
              <w:rPr>
                <w:b/>
                <w:bCs/>
                <w:i/>
                <w:iCs/>
                <w:color w:val="000000" w:themeColor="text1"/>
                <w:sz w:val="24"/>
                <w:szCs w:val="24"/>
                <w:lang w:val="sv-SE"/>
                <w14:textFill>
                  <w14:solidFill>
                    <w14:schemeClr w14:val="tx1"/>
                  </w14:solidFill>
                </w14:textFill>
              </w:rPr>
              <w:t>Nơi nhận:</w:t>
            </w:r>
          </w:p>
          <w:p w14:paraId="496D1EFC">
            <w:pPr>
              <w:spacing w:line="252" w:lineRule="auto"/>
              <w:jc w:val="both"/>
              <w:rPr>
                <w:color w:val="000000" w:themeColor="text1"/>
                <w:sz w:val="22"/>
                <w:szCs w:val="22"/>
                <w:lang w:val="sv-SE"/>
                <w14:textFill>
                  <w14:solidFill>
                    <w14:schemeClr w14:val="tx1"/>
                  </w14:solidFill>
                </w14:textFill>
              </w:rPr>
            </w:pPr>
            <w:r>
              <w:rPr>
                <w:color w:val="000000" w:themeColor="text1"/>
                <w:sz w:val="22"/>
                <w:szCs w:val="22"/>
                <w:lang w:val="sv-SE"/>
                <w14:textFill>
                  <w14:solidFill>
                    <w14:schemeClr w14:val="tx1"/>
                  </w14:solidFill>
                </w14:textFill>
              </w:rPr>
              <w:t>- Như Điều 3;</w:t>
            </w:r>
          </w:p>
          <w:p w14:paraId="7A4A7D17">
            <w:pPr>
              <w:spacing w:line="252" w:lineRule="auto"/>
              <w:jc w:val="both"/>
              <w:rPr>
                <w:color w:val="000000" w:themeColor="text1"/>
                <w:sz w:val="22"/>
                <w:szCs w:val="22"/>
                <w:lang w:val="sv-SE"/>
                <w14:textFill>
                  <w14:solidFill>
                    <w14:schemeClr w14:val="tx1"/>
                  </w14:solidFill>
                </w14:textFill>
              </w:rPr>
            </w:pPr>
            <w:r>
              <w:rPr>
                <w:color w:val="000000" w:themeColor="text1"/>
                <w:sz w:val="22"/>
                <w:szCs w:val="22"/>
                <w:lang w:val="sv-SE"/>
                <w14:textFill>
                  <w14:solidFill>
                    <w14:schemeClr w14:val="tx1"/>
                  </w14:solidFill>
                </w14:textFill>
              </w:rPr>
              <w:t>- Chủ tịch, các PCT UBND;</w:t>
            </w:r>
          </w:p>
          <w:p w14:paraId="16ADC981">
            <w:pPr>
              <w:spacing w:line="252" w:lineRule="auto"/>
              <w:jc w:val="both"/>
              <w:rPr>
                <w:color w:val="000000" w:themeColor="text1"/>
                <w:lang w:val="sv-SE"/>
                <w14:textFill>
                  <w14:solidFill>
                    <w14:schemeClr w14:val="tx1"/>
                  </w14:solidFill>
                </w14:textFill>
              </w:rPr>
            </w:pPr>
            <w:r>
              <w:rPr>
                <w:color w:val="000000" w:themeColor="text1"/>
                <w:sz w:val="22"/>
                <w:szCs w:val="22"/>
                <w:lang w:val="sv-SE"/>
                <w14:textFill>
                  <w14:solidFill>
                    <w14:schemeClr w14:val="tx1"/>
                  </w14:solidFill>
                </w14:textFill>
              </w:rPr>
              <w:t>- Lưu: VT, T01, T02.</w:t>
            </w:r>
          </w:p>
        </w:tc>
        <w:tc>
          <w:tcPr>
            <w:tcW w:w="4678" w:type="dxa"/>
          </w:tcPr>
          <w:p w14:paraId="24180DF1">
            <w:pPr>
              <w:spacing w:line="252" w:lineRule="auto"/>
              <w:jc w:val="center"/>
              <w:rPr>
                <w:rFonts w:hint="default"/>
                <w:b/>
                <w:bCs/>
                <w:iCs/>
                <w:color w:val="000000" w:themeColor="text1"/>
                <w:lang w:val="en-US"/>
                <w14:textFill>
                  <w14:solidFill>
                    <w14:schemeClr w14:val="tx1"/>
                  </w14:solidFill>
                </w14:textFill>
              </w:rPr>
            </w:pPr>
            <w:r>
              <w:rPr>
                <w:b/>
                <w:color w:val="000000" w:themeColor="text1"/>
                <w:lang w:val="sv-SE"/>
                <w14:textFill>
                  <w14:solidFill>
                    <w14:schemeClr w14:val="tx1"/>
                  </w14:solidFill>
                </w14:textFill>
              </w:rPr>
              <w:t>CHỦ TỊCH</w:t>
            </w:r>
            <w:r>
              <w:rPr>
                <w:b/>
                <w:color w:val="000000" w:themeColor="text1"/>
                <w:lang w:val="sv-SE"/>
                <w14:textFill>
                  <w14:solidFill>
                    <w14:schemeClr w14:val="tx1"/>
                  </w14:solidFill>
                </w14:textFill>
              </w:rPr>
              <w:br w:type="textWrapping"/>
            </w:r>
            <w:r>
              <w:rPr>
                <w:b/>
                <w:color w:val="000000" w:themeColor="text1"/>
                <w:lang w:val="sv-SE"/>
                <w14:textFill>
                  <w14:solidFill>
                    <w14:schemeClr w14:val="tx1"/>
                  </w14:solidFill>
                </w14:textFill>
              </w:rPr>
              <w:br w:type="textWrapping"/>
            </w:r>
            <w:r>
              <w:rPr>
                <w:b/>
                <w:color w:val="000000" w:themeColor="text1"/>
                <w:lang w:val="sv-SE"/>
                <w14:textFill>
                  <w14:solidFill>
                    <w14:schemeClr w14:val="tx1"/>
                  </w14:solidFill>
                </w14:textFill>
              </w:rPr>
              <w:br w:type="textWrapping"/>
            </w:r>
            <w:r>
              <w:rPr>
                <w:b/>
                <w:color w:val="000000" w:themeColor="text1"/>
                <w:lang w:val="sv-SE"/>
                <w14:textFill>
                  <w14:solidFill>
                    <w14:schemeClr w14:val="tx1"/>
                  </w14:solidFill>
                </w14:textFill>
              </w:rPr>
              <w:br w:type="textWrapping"/>
            </w:r>
            <w:r>
              <w:rPr>
                <w:b/>
                <w:color w:val="000000" w:themeColor="text1"/>
                <w:lang w:val="sv-SE"/>
                <w14:textFill>
                  <w14:solidFill>
                    <w14:schemeClr w14:val="tx1"/>
                  </w14:solidFill>
                </w14:textFill>
              </w:rPr>
              <w:br w:type="textWrapping"/>
            </w:r>
            <w:r>
              <w:rPr>
                <w:b/>
                <w:color w:val="000000" w:themeColor="text1"/>
                <w:lang w:val="sv-SE"/>
                <w14:textFill>
                  <w14:solidFill>
                    <w14:schemeClr w14:val="tx1"/>
                  </w14:solidFill>
                </w14:textFill>
              </w:rPr>
              <w:br w:type="textWrapping"/>
            </w:r>
            <w:r>
              <w:rPr>
                <w:rFonts w:hint="default"/>
                <w:b/>
                <w:color w:val="000000" w:themeColor="text1"/>
                <w:lang w:val="en-US"/>
                <w14:textFill>
                  <w14:solidFill>
                    <w14:schemeClr w14:val="tx1"/>
                  </w14:solidFill>
                </w14:textFill>
              </w:rPr>
              <w:t>Nguyễn Xuân Linh</w:t>
            </w:r>
          </w:p>
        </w:tc>
      </w:tr>
    </w:tbl>
    <w:p w14:paraId="07AC9050">
      <w:pPr>
        <w:spacing w:line="252" w:lineRule="auto"/>
        <w:jc w:val="center"/>
        <w:rPr>
          <w:b/>
          <w:lang w:val="sv-SE"/>
        </w:rPr>
      </w:pPr>
    </w:p>
    <w:p w14:paraId="0228F7ED">
      <w:pPr>
        <w:spacing w:line="252" w:lineRule="auto"/>
        <w:jc w:val="center"/>
        <w:rPr>
          <w:b/>
          <w:lang w:val="sv-SE"/>
        </w:rPr>
      </w:pPr>
    </w:p>
    <w:p w14:paraId="78BBEEAD">
      <w:pPr>
        <w:spacing w:line="252" w:lineRule="auto"/>
        <w:jc w:val="center"/>
        <w:rPr>
          <w:b/>
          <w:lang w:val="sv-SE"/>
        </w:rPr>
      </w:pPr>
    </w:p>
    <w:p w14:paraId="5CC049CD">
      <w:pPr>
        <w:spacing w:line="252" w:lineRule="auto"/>
        <w:jc w:val="center"/>
        <w:rPr>
          <w:b/>
          <w:lang w:val="sv-SE"/>
        </w:rPr>
      </w:pPr>
    </w:p>
    <w:p w14:paraId="57DC1E0E">
      <w:pPr>
        <w:spacing w:line="252" w:lineRule="auto"/>
        <w:jc w:val="center"/>
        <w:rPr>
          <w:b/>
          <w:lang w:val="sv-SE"/>
        </w:rPr>
      </w:pPr>
    </w:p>
    <w:p w14:paraId="3279DE19">
      <w:pPr>
        <w:spacing w:line="252" w:lineRule="auto"/>
        <w:jc w:val="center"/>
        <w:rPr>
          <w:b/>
          <w:lang w:val="sv-SE"/>
        </w:rPr>
      </w:pPr>
    </w:p>
    <w:p w14:paraId="084A24DA">
      <w:pPr>
        <w:spacing w:line="252" w:lineRule="auto"/>
        <w:jc w:val="center"/>
        <w:rPr>
          <w:b/>
          <w:lang w:val="sv-SE"/>
        </w:rPr>
      </w:pPr>
    </w:p>
    <w:p w14:paraId="1F74626A">
      <w:pPr>
        <w:spacing w:line="252" w:lineRule="auto"/>
        <w:jc w:val="center"/>
        <w:rPr>
          <w:b/>
          <w:lang w:val="sv-SE"/>
        </w:rPr>
      </w:pPr>
    </w:p>
    <w:p w14:paraId="4EF03E38">
      <w:pPr>
        <w:spacing w:line="252" w:lineRule="auto"/>
        <w:jc w:val="center"/>
        <w:rPr>
          <w:b/>
          <w:lang w:val="sv-SE"/>
        </w:rPr>
      </w:pPr>
    </w:p>
    <w:p w14:paraId="718FCFA5">
      <w:pPr>
        <w:spacing w:line="252" w:lineRule="auto"/>
        <w:jc w:val="center"/>
        <w:rPr>
          <w:b/>
          <w:lang w:val="sv-SE"/>
        </w:rPr>
      </w:pPr>
    </w:p>
    <w:p w14:paraId="351DDCF6">
      <w:pPr>
        <w:spacing w:line="252" w:lineRule="auto"/>
        <w:jc w:val="center"/>
        <w:rPr>
          <w:b/>
          <w:lang w:val="sv-SE"/>
        </w:rPr>
      </w:pPr>
    </w:p>
    <w:p w14:paraId="6A14899C">
      <w:pPr>
        <w:spacing w:line="252" w:lineRule="auto"/>
        <w:rPr>
          <w:b/>
          <w:lang w:val="sv-SE"/>
        </w:rPr>
        <w:sectPr>
          <w:headerReference r:id="rId3" w:type="default"/>
          <w:footerReference r:id="rId4" w:type="default"/>
          <w:footerReference r:id="rId5" w:type="even"/>
          <w:pgSz w:w="11907" w:h="16840"/>
          <w:pgMar w:top="1134" w:right="1021" w:bottom="1134" w:left="1701" w:header="720" w:footer="720" w:gutter="0"/>
          <w:cols w:space="720" w:num="1"/>
          <w:titlePg/>
          <w:docGrid w:linePitch="381" w:charSpace="0"/>
        </w:sectPr>
      </w:pPr>
    </w:p>
    <w:p w14:paraId="3E9C976A">
      <w:pPr>
        <w:spacing w:line="252" w:lineRule="auto"/>
        <w:jc w:val="center"/>
        <w:rPr>
          <w:b/>
          <w:sz w:val="26"/>
          <w:szCs w:val="26"/>
          <w:lang w:val="sv-SE"/>
        </w:rPr>
      </w:pPr>
      <w:r>
        <w:rPr>
          <w:b/>
          <w:sz w:val="26"/>
          <w:szCs w:val="26"/>
          <w:lang w:val="sv-SE"/>
        </w:rPr>
        <w:t>PHỤ LỤC</w:t>
      </w:r>
    </w:p>
    <w:p w14:paraId="1869836B">
      <w:pPr>
        <w:spacing w:line="252" w:lineRule="auto"/>
        <w:jc w:val="center"/>
        <w:rPr>
          <w:rFonts w:hint="default"/>
          <w:b/>
          <w:sz w:val="26"/>
          <w:szCs w:val="26"/>
          <w:lang w:val="en-US"/>
        </w:rPr>
      </w:pPr>
      <w:r>
        <w:rPr>
          <w:b/>
          <w:sz w:val="26"/>
          <w:szCs w:val="26"/>
          <w:lang w:val="sv-SE"/>
        </w:rPr>
        <w:t xml:space="preserve">Kế hoạch lựa chọn nhà thầu dự toán mua sắm xi măng thực hiện Kế hoạch làm đường giao thông, rãnh thoát nước, kênh mương nội đồng năm 2024 trên địa bàn xã </w:t>
      </w:r>
      <w:r>
        <w:rPr>
          <w:rFonts w:hint="default"/>
          <w:b/>
          <w:sz w:val="26"/>
          <w:szCs w:val="26"/>
          <w:lang w:val="en-US"/>
        </w:rPr>
        <w:t>Bùi La Nhân</w:t>
      </w:r>
    </w:p>
    <w:p w14:paraId="22E36568">
      <w:pPr>
        <w:spacing w:line="252" w:lineRule="auto"/>
        <w:jc w:val="center"/>
        <w:rPr>
          <w:b w:val="0"/>
          <w:bCs/>
          <w:i/>
          <w:iCs/>
          <w:sz w:val="26"/>
          <w:szCs w:val="26"/>
          <w:lang w:val="sv-SE"/>
        </w:rPr>
      </w:pPr>
      <w:r>
        <w:rPr>
          <w:b w:val="0"/>
          <w:bCs/>
          <w:i/>
          <w:iCs/>
          <w:sz w:val="26"/>
          <w:szCs w:val="26"/>
          <w:lang w:val="vi-VN"/>
        </w:rPr>
        <w:t>(Kèm theo Quyết định số</w:t>
      </w:r>
      <w:r>
        <w:rPr>
          <w:rFonts w:hint="default"/>
          <w:b w:val="0"/>
          <w:bCs/>
          <w:i/>
          <w:iCs/>
          <w:sz w:val="26"/>
          <w:szCs w:val="26"/>
          <w:lang w:val="en-US"/>
        </w:rPr>
        <w:t xml:space="preserve"> 100</w:t>
      </w:r>
      <w:r>
        <w:rPr>
          <w:b w:val="0"/>
          <w:bCs/>
          <w:i/>
          <w:iCs/>
          <w:sz w:val="26"/>
          <w:szCs w:val="26"/>
          <w:lang w:val="vi-VN"/>
        </w:rPr>
        <w:t xml:space="preserve"> ngày</w:t>
      </w:r>
      <w:r>
        <w:rPr>
          <w:rFonts w:hint="default"/>
          <w:b w:val="0"/>
          <w:bCs/>
          <w:i/>
          <w:iCs/>
          <w:sz w:val="26"/>
          <w:szCs w:val="26"/>
          <w:lang w:val="en-US"/>
        </w:rPr>
        <w:t xml:space="preserve"> 27 </w:t>
      </w:r>
      <w:r>
        <w:rPr>
          <w:b w:val="0"/>
          <w:bCs/>
          <w:i/>
          <w:iCs/>
          <w:sz w:val="26"/>
          <w:szCs w:val="26"/>
          <w:lang w:val="vi-VN"/>
        </w:rPr>
        <w:t>tháng</w:t>
      </w:r>
      <w:r>
        <w:rPr>
          <w:rFonts w:hint="default"/>
          <w:b w:val="0"/>
          <w:bCs/>
          <w:i/>
          <w:iCs/>
          <w:sz w:val="26"/>
          <w:szCs w:val="26"/>
          <w:lang w:val="en-US"/>
        </w:rPr>
        <w:t xml:space="preserve"> 6 </w:t>
      </w:r>
      <w:r>
        <w:rPr>
          <w:b w:val="0"/>
          <w:bCs/>
          <w:i/>
          <w:iCs/>
          <w:sz w:val="26"/>
          <w:szCs w:val="26"/>
          <w:lang w:val="vi-VN"/>
        </w:rPr>
        <w:t>năm</w:t>
      </w:r>
      <w:r>
        <w:rPr>
          <w:rFonts w:hint="default"/>
          <w:b w:val="0"/>
          <w:bCs/>
          <w:i/>
          <w:iCs/>
          <w:sz w:val="26"/>
          <w:szCs w:val="26"/>
          <w:lang w:val="en-US"/>
        </w:rPr>
        <w:t xml:space="preserve"> 2024 </w:t>
      </w:r>
      <w:r>
        <w:rPr>
          <w:b w:val="0"/>
          <w:bCs/>
          <w:i/>
          <w:iCs/>
          <w:sz w:val="26"/>
          <w:szCs w:val="26"/>
          <w:lang w:val="vi-VN"/>
        </w:rPr>
        <w:t>của</w:t>
      </w:r>
      <w:r>
        <w:rPr>
          <w:rFonts w:hint="default"/>
          <w:b w:val="0"/>
          <w:bCs/>
          <w:i/>
          <w:iCs/>
          <w:sz w:val="26"/>
          <w:szCs w:val="26"/>
          <w:lang w:val="en-US"/>
        </w:rPr>
        <w:t xml:space="preserve"> UBND xã Bùi La Nhân</w:t>
      </w:r>
      <w:r>
        <w:rPr>
          <w:b w:val="0"/>
          <w:bCs/>
          <w:i/>
          <w:iCs/>
          <w:sz w:val="26"/>
          <w:szCs w:val="26"/>
          <w:lang w:val="vi-VN"/>
        </w:rPr>
        <w:t>)</w:t>
      </w:r>
    </w:p>
    <w:p w14:paraId="08B60FD7">
      <w:pPr>
        <w:spacing w:line="252" w:lineRule="auto"/>
        <w:jc w:val="center"/>
      </w:pPr>
    </w:p>
    <w:p w14:paraId="4B8A6267">
      <w:pPr>
        <w:spacing w:line="252" w:lineRule="auto"/>
        <w:jc w:val="center"/>
      </w:pPr>
    </w:p>
    <w:tbl>
      <w:tblPr>
        <w:tblStyle w:val="3"/>
        <w:tblpPr w:leftFromText="180" w:rightFromText="180" w:vertAnchor="text" w:horzAnchor="margin" w:tblpXSpec="center" w:tblpY="-355"/>
        <w:tblW w:w="52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37"/>
        <w:gridCol w:w="1350"/>
        <w:gridCol w:w="1594"/>
        <w:gridCol w:w="1478"/>
        <w:gridCol w:w="1210"/>
        <w:gridCol w:w="1161"/>
        <w:gridCol w:w="1075"/>
        <w:gridCol w:w="1114"/>
        <w:gridCol w:w="900"/>
        <w:gridCol w:w="1274"/>
        <w:gridCol w:w="657"/>
        <w:gridCol w:w="888"/>
        <w:gridCol w:w="796"/>
        <w:gridCol w:w="770"/>
      </w:tblGrid>
      <w:tr w14:paraId="54582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9" w:hRule="atLeast"/>
        </w:trPr>
        <w:tc>
          <w:tcPr>
            <w:tcW w:w="180" w:type="pct"/>
            <w:shd w:val="clear" w:color="auto" w:fill="auto"/>
            <w:tcMar>
              <w:top w:w="0" w:type="dxa"/>
              <w:left w:w="108" w:type="dxa"/>
              <w:bottom w:w="0" w:type="dxa"/>
              <w:right w:w="108" w:type="dxa"/>
            </w:tcMar>
            <w:vAlign w:val="center"/>
          </w:tcPr>
          <w:p w14:paraId="16EDE535">
            <w:pPr>
              <w:spacing w:before="60" w:after="60" w:line="252" w:lineRule="auto"/>
              <w:jc w:val="center"/>
              <w:rPr>
                <w:color w:val="000000"/>
                <w:sz w:val="24"/>
                <w:szCs w:val="24"/>
                <w:lang w:val="nl-NL"/>
              </w:rPr>
            </w:pPr>
            <w:r>
              <w:rPr>
                <w:b/>
                <w:bCs/>
                <w:color w:val="000000"/>
                <w:sz w:val="24"/>
                <w:szCs w:val="24"/>
                <w:lang w:val="nl-NL"/>
              </w:rPr>
              <w:t>TT</w:t>
            </w:r>
          </w:p>
        </w:tc>
        <w:tc>
          <w:tcPr>
            <w:tcW w:w="456" w:type="pct"/>
            <w:vAlign w:val="center"/>
          </w:tcPr>
          <w:p w14:paraId="3F7EE949">
            <w:pPr>
              <w:spacing w:before="60" w:after="60" w:line="252" w:lineRule="auto"/>
              <w:jc w:val="center"/>
              <w:rPr>
                <w:rFonts w:eastAsia="Batang"/>
                <w:b/>
                <w:color w:val="000000"/>
                <w:sz w:val="24"/>
                <w:szCs w:val="24"/>
              </w:rPr>
            </w:pPr>
            <w:r>
              <w:rPr>
                <w:rFonts w:eastAsia="Batang"/>
                <w:b/>
                <w:color w:val="000000"/>
                <w:sz w:val="24"/>
                <w:szCs w:val="24"/>
              </w:rPr>
              <w:t>Chủ đầu tư</w:t>
            </w:r>
          </w:p>
        </w:tc>
        <w:tc>
          <w:tcPr>
            <w:tcW w:w="1037" w:type="pct"/>
            <w:gridSpan w:val="2"/>
            <w:shd w:val="clear" w:color="auto" w:fill="auto"/>
            <w:tcMar>
              <w:top w:w="0" w:type="dxa"/>
              <w:left w:w="108" w:type="dxa"/>
              <w:bottom w:w="0" w:type="dxa"/>
              <w:right w:w="108" w:type="dxa"/>
            </w:tcMar>
            <w:vAlign w:val="center"/>
          </w:tcPr>
          <w:p w14:paraId="02C876DB">
            <w:pPr>
              <w:spacing w:before="60" w:after="60" w:line="252" w:lineRule="auto"/>
              <w:jc w:val="center"/>
              <w:rPr>
                <w:color w:val="000000"/>
                <w:sz w:val="24"/>
                <w:szCs w:val="24"/>
              </w:rPr>
            </w:pPr>
            <w:r>
              <w:rPr>
                <w:b/>
                <w:bCs/>
                <w:color w:val="000000"/>
                <w:sz w:val="24"/>
                <w:szCs w:val="24"/>
                <w:lang w:val="nl-NL"/>
              </w:rPr>
              <w:t xml:space="preserve">Tên gói </w:t>
            </w:r>
            <w:r>
              <w:rPr>
                <w:b/>
                <w:bCs/>
                <w:color w:val="000000"/>
                <w:sz w:val="24"/>
                <w:szCs w:val="24"/>
              </w:rPr>
              <w:t>thầu</w:t>
            </w:r>
          </w:p>
        </w:tc>
        <w:tc>
          <w:tcPr>
            <w:tcW w:w="405" w:type="pct"/>
            <w:vAlign w:val="center"/>
          </w:tcPr>
          <w:p w14:paraId="5F846129">
            <w:pPr>
              <w:spacing w:before="60" w:after="60" w:line="252" w:lineRule="auto"/>
              <w:jc w:val="center"/>
              <w:rPr>
                <w:color w:val="000000"/>
                <w:sz w:val="24"/>
                <w:szCs w:val="24"/>
              </w:rPr>
            </w:pPr>
            <w:r>
              <w:rPr>
                <w:b/>
                <w:bCs/>
                <w:color w:val="000000"/>
                <w:sz w:val="24"/>
                <w:szCs w:val="24"/>
              </w:rPr>
              <w:t>Giá gói thầu</w:t>
            </w:r>
          </w:p>
          <w:p w14:paraId="7490452D">
            <w:pPr>
              <w:spacing w:before="60" w:after="60" w:line="252" w:lineRule="auto"/>
              <w:jc w:val="center"/>
              <w:rPr>
                <w:i/>
                <w:color w:val="000000"/>
                <w:sz w:val="24"/>
                <w:szCs w:val="24"/>
              </w:rPr>
            </w:pPr>
            <w:r>
              <w:rPr>
                <w:i/>
                <w:color w:val="000000"/>
                <w:sz w:val="24"/>
                <w:szCs w:val="24"/>
              </w:rPr>
              <w:t>(đồng)</w:t>
            </w:r>
          </w:p>
        </w:tc>
        <w:tc>
          <w:tcPr>
            <w:tcW w:w="392" w:type="pct"/>
            <w:tcBorders>
              <w:bottom w:val="single" w:color="auto" w:sz="4" w:space="0"/>
            </w:tcBorders>
            <w:shd w:val="clear" w:color="auto" w:fill="auto"/>
            <w:tcMar>
              <w:top w:w="0" w:type="dxa"/>
              <w:left w:w="108" w:type="dxa"/>
              <w:bottom w:w="0" w:type="dxa"/>
              <w:right w:w="108" w:type="dxa"/>
            </w:tcMar>
            <w:vAlign w:val="center"/>
          </w:tcPr>
          <w:p w14:paraId="5DBAB3AD">
            <w:pPr>
              <w:spacing w:before="60" w:after="60" w:line="252" w:lineRule="auto"/>
              <w:jc w:val="center"/>
              <w:rPr>
                <w:i/>
                <w:color w:val="000000"/>
                <w:sz w:val="24"/>
                <w:szCs w:val="24"/>
              </w:rPr>
            </w:pPr>
            <w:r>
              <w:rPr>
                <w:b/>
                <w:bCs/>
                <w:color w:val="000000"/>
                <w:sz w:val="24"/>
                <w:szCs w:val="24"/>
              </w:rPr>
              <w:t>Nguồn vốn</w:t>
            </w:r>
          </w:p>
        </w:tc>
        <w:tc>
          <w:tcPr>
            <w:tcW w:w="363" w:type="pct"/>
            <w:shd w:val="clear" w:color="auto" w:fill="auto"/>
            <w:tcMar>
              <w:top w:w="0" w:type="dxa"/>
              <w:left w:w="108" w:type="dxa"/>
              <w:bottom w:w="0" w:type="dxa"/>
              <w:right w:w="108" w:type="dxa"/>
            </w:tcMar>
            <w:vAlign w:val="center"/>
          </w:tcPr>
          <w:p w14:paraId="5E8BD614">
            <w:pPr>
              <w:spacing w:before="60" w:after="60" w:line="252" w:lineRule="auto"/>
              <w:jc w:val="center"/>
              <w:rPr>
                <w:color w:val="000000"/>
                <w:sz w:val="24"/>
                <w:szCs w:val="24"/>
              </w:rPr>
            </w:pPr>
            <w:r>
              <w:rPr>
                <w:b/>
                <w:bCs/>
                <w:color w:val="000000"/>
                <w:sz w:val="24"/>
                <w:szCs w:val="24"/>
              </w:rPr>
              <w:t>Hình thức lựa chọn nhà thầu</w:t>
            </w:r>
          </w:p>
        </w:tc>
        <w:tc>
          <w:tcPr>
            <w:tcW w:w="376" w:type="pct"/>
            <w:shd w:val="clear" w:color="auto" w:fill="auto"/>
            <w:tcMar>
              <w:top w:w="0" w:type="dxa"/>
              <w:left w:w="108" w:type="dxa"/>
              <w:bottom w:w="0" w:type="dxa"/>
              <w:right w:w="108" w:type="dxa"/>
            </w:tcMar>
            <w:vAlign w:val="center"/>
          </w:tcPr>
          <w:p w14:paraId="35A09C20">
            <w:pPr>
              <w:spacing w:before="60" w:after="60" w:line="252" w:lineRule="auto"/>
              <w:jc w:val="center"/>
              <w:rPr>
                <w:b/>
                <w:color w:val="000000"/>
                <w:sz w:val="24"/>
                <w:szCs w:val="24"/>
              </w:rPr>
            </w:pPr>
            <w:r>
              <w:rPr>
                <w:b/>
                <w:color w:val="000000"/>
                <w:sz w:val="24"/>
                <w:szCs w:val="24"/>
              </w:rPr>
              <w:t>Phương thức lựa chọn nhà thầu</w:t>
            </w:r>
          </w:p>
        </w:tc>
        <w:tc>
          <w:tcPr>
            <w:tcW w:w="304" w:type="pct"/>
            <w:vAlign w:val="center"/>
          </w:tcPr>
          <w:p w14:paraId="6D924FD0">
            <w:pPr>
              <w:spacing w:before="60" w:after="60" w:line="252" w:lineRule="auto"/>
              <w:jc w:val="center"/>
              <w:rPr>
                <w:b/>
                <w:bCs/>
                <w:color w:val="000000"/>
                <w:sz w:val="24"/>
                <w:szCs w:val="24"/>
              </w:rPr>
            </w:pPr>
            <w:r>
              <w:rPr>
                <w:b/>
                <w:bCs/>
                <w:color w:val="000000"/>
                <w:sz w:val="24"/>
                <w:szCs w:val="24"/>
              </w:rPr>
              <w:t>Thời gian tổ chức lựa chọn nhà thầu</w:t>
            </w:r>
          </w:p>
        </w:tc>
        <w:tc>
          <w:tcPr>
            <w:tcW w:w="430" w:type="pct"/>
            <w:shd w:val="clear" w:color="auto" w:fill="auto"/>
            <w:tcMar>
              <w:top w:w="0" w:type="dxa"/>
              <w:left w:w="108" w:type="dxa"/>
              <w:bottom w:w="0" w:type="dxa"/>
              <w:right w:w="108" w:type="dxa"/>
            </w:tcMar>
            <w:vAlign w:val="center"/>
          </w:tcPr>
          <w:p w14:paraId="210CD6C0">
            <w:pPr>
              <w:spacing w:before="60" w:after="60" w:line="252" w:lineRule="auto"/>
              <w:jc w:val="center"/>
              <w:rPr>
                <w:color w:val="000000"/>
                <w:sz w:val="24"/>
                <w:szCs w:val="24"/>
              </w:rPr>
            </w:pPr>
            <w:r>
              <w:rPr>
                <w:b/>
                <w:bCs/>
                <w:color w:val="000000"/>
                <w:sz w:val="24"/>
                <w:szCs w:val="24"/>
              </w:rPr>
              <w:t>Thời gian bắt đầu tổ chức lựa chọn nhà thầu</w:t>
            </w:r>
          </w:p>
        </w:tc>
        <w:tc>
          <w:tcPr>
            <w:tcW w:w="222" w:type="pct"/>
            <w:vAlign w:val="center"/>
          </w:tcPr>
          <w:p w14:paraId="049744B7">
            <w:pPr>
              <w:spacing w:before="60" w:after="60" w:line="252" w:lineRule="auto"/>
              <w:jc w:val="center"/>
              <w:rPr>
                <w:color w:val="000000"/>
                <w:sz w:val="24"/>
                <w:szCs w:val="24"/>
              </w:rPr>
            </w:pPr>
            <w:r>
              <w:rPr>
                <w:b/>
                <w:bCs/>
                <w:color w:val="000000"/>
                <w:sz w:val="24"/>
                <w:szCs w:val="24"/>
              </w:rPr>
              <w:t>Loại hợp đồng</w:t>
            </w:r>
          </w:p>
        </w:tc>
        <w:tc>
          <w:tcPr>
            <w:tcW w:w="300" w:type="pct"/>
            <w:vAlign w:val="center"/>
          </w:tcPr>
          <w:p w14:paraId="3A33E677">
            <w:pPr>
              <w:spacing w:before="60" w:after="60" w:line="252" w:lineRule="auto"/>
              <w:jc w:val="center"/>
              <w:rPr>
                <w:color w:val="000000"/>
                <w:sz w:val="24"/>
                <w:szCs w:val="24"/>
              </w:rPr>
            </w:pPr>
            <w:r>
              <w:rPr>
                <w:b/>
                <w:bCs/>
                <w:color w:val="000000"/>
                <w:sz w:val="24"/>
                <w:szCs w:val="24"/>
              </w:rPr>
              <w:t>Thời gian thực hiện gói thầu</w:t>
            </w:r>
          </w:p>
        </w:tc>
        <w:tc>
          <w:tcPr>
            <w:tcW w:w="269" w:type="pct"/>
            <w:vAlign w:val="center"/>
          </w:tcPr>
          <w:p w14:paraId="741D2FBB">
            <w:pPr>
              <w:spacing w:before="60" w:after="60" w:line="252" w:lineRule="auto"/>
              <w:jc w:val="center"/>
              <w:rPr>
                <w:b/>
                <w:bCs/>
                <w:color w:val="000000"/>
                <w:sz w:val="24"/>
                <w:szCs w:val="24"/>
              </w:rPr>
            </w:pPr>
            <w:r>
              <w:rPr>
                <w:b/>
                <w:bCs/>
                <w:color w:val="000000"/>
                <w:sz w:val="24"/>
                <w:szCs w:val="24"/>
              </w:rPr>
              <w:t>Tuỳ chọn mua thêm</w:t>
            </w:r>
          </w:p>
        </w:tc>
        <w:tc>
          <w:tcPr>
            <w:tcW w:w="260" w:type="pct"/>
            <w:vAlign w:val="center"/>
          </w:tcPr>
          <w:p w14:paraId="1EBD043C">
            <w:pPr>
              <w:spacing w:before="60" w:after="60" w:line="252" w:lineRule="auto"/>
              <w:jc w:val="center"/>
              <w:rPr>
                <w:b/>
                <w:bCs/>
                <w:color w:val="000000"/>
                <w:sz w:val="24"/>
                <w:szCs w:val="24"/>
                <w:highlight w:val="yellow"/>
              </w:rPr>
            </w:pPr>
            <w:r>
              <w:rPr>
                <w:b/>
                <w:bCs/>
                <w:color w:val="000000"/>
                <w:sz w:val="24"/>
                <w:szCs w:val="24"/>
              </w:rPr>
              <w:t>Giám sát hoạt động đấu thầu</w:t>
            </w:r>
          </w:p>
        </w:tc>
      </w:tr>
      <w:tr w14:paraId="4B66B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atLeast"/>
        </w:trPr>
        <w:tc>
          <w:tcPr>
            <w:tcW w:w="180" w:type="pct"/>
            <w:vMerge w:val="restart"/>
            <w:shd w:val="clear" w:color="auto" w:fill="auto"/>
            <w:tcMar>
              <w:top w:w="0" w:type="dxa"/>
              <w:left w:w="108" w:type="dxa"/>
              <w:bottom w:w="0" w:type="dxa"/>
              <w:right w:w="108" w:type="dxa"/>
            </w:tcMar>
            <w:vAlign w:val="center"/>
          </w:tcPr>
          <w:p w14:paraId="553BB8DC">
            <w:pPr>
              <w:spacing w:before="60" w:after="60" w:line="252" w:lineRule="auto"/>
              <w:jc w:val="center"/>
              <w:rPr>
                <w:bCs/>
                <w:color w:val="000000"/>
                <w:sz w:val="24"/>
                <w:szCs w:val="24"/>
              </w:rPr>
            </w:pPr>
            <w:r>
              <w:rPr>
                <w:bCs/>
                <w:color w:val="000000"/>
                <w:sz w:val="24"/>
                <w:szCs w:val="24"/>
              </w:rPr>
              <w:t>1</w:t>
            </w:r>
          </w:p>
        </w:tc>
        <w:tc>
          <w:tcPr>
            <w:tcW w:w="456" w:type="pct"/>
            <w:vMerge w:val="restart"/>
          </w:tcPr>
          <w:p w14:paraId="6F2FA8B6">
            <w:pPr>
              <w:spacing w:before="60" w:after="60" w:line="252" w:lineRule="auto"/>
              <w:jc w:val="center"/>
              <w:rPr>
                <w:bCs/>
                <w:color w:val="000000"/>
                <w:sz w:val="24"/>
                <w:szCs w:val="24"/>
              </w:rPr>
            </w:pPr>
          </w:p>
          <w:p w14:paraId="12683153">
            <w:pPr>
              <w:spacing w:before="60" w:after="60" w:line="252" w:lineRule="auto"/>
              <w:jc w:val="center"/>
              <w:rPr>
                <w:bCs/>
                <w:color w:val="000000"/>
                <w:sz w:val="24"/>
                <w:szCs w:val="24"/>
              </w:rPr>
            </w:pPr>
          </w:p>
          <w:p w14:paraId="42390383">
            <w:pPr>
              <w:spacing w:before="60" w:after="60" w:line="252" w:lineRule="auto"/>
              <w:jc w:val="center"/>
              <w:rPr>
                <w:bCs/>
                <w:color w:val="000000"/>
                <w:sz w:val="24"/>
                <w:szCs w:val="24"/>
              </w:rPr>
            </w:pPr>
          </w:p>
          <w:p w14:paraId="20488192">
            <w:pPr>
              <w:spacing w:before="60" w:after="60" w:line="252" w:lineRule="auto"/>
              <w:jc w:val="center"/>
              <w:rPr>
                <w:bCs/>
                <w:color w:val="000000"/>
                <w:sz w:val="24"/>
                <w:szCs w:val="24"/>
              </w:rPr>
            </w:pPr>
          </w:p>
          <w:p w14:paraId="189F94BC">
            <w:pPr>
              <w:spacing w:before="60" w:after="60" w:line="252" w:lineRule="auto"/>
              <w:jc w:val="center"/>
              <w:rPr>
                <w:bCs/>
                <w:color w:val="000000"/>
                <w:sz w:val="24"/>
                <w:szCs w:val="24"/>
              </w:rPr>
            </w:pPr>
          </w:p>
          <w:p w14:paraId="3D19A9D8">
            <w:pPr>
              <w:spacing w:before="60" w:after="60" w:line="252" w:lineRule="auto"/>
              <w:jc w:val="center"/>
              <w:rPr>
                <w:bCs/>
                <w:color w:val="000000"/>
                <w:sz w:val="24"/>
                <w:szCs w:val="24"/>
              </w:rPr>
            </w:pPr>
          </w:p>
          <w:p w14:paraId="1C958A21">
            <w:pPr>
              <w:spacing w:before="60" w:after="60" w:line="252" w:lineRule="auto"/>
              <w:jc w:val="center"/>
              <w:rPr>
                <w:bCs/>
                <w:color w:val="000000"/>
                <w:sz w:val="24"/>
                <w:szCs w:val="24"/>
              </w:rPr>
            </w:pPr>
            <w:r>
              <w:rPr>
                <w:bCs/>
                <w:color w:val="000000"/>
                <w:sz w:val="24"/>
                <w:szCs w:val="24"/>
              </w:rPr>
              <w:t>UBND xã</w:t>
            </w:r>
            <w:r>
              <w:rPr>
                <w:rFonts w:hint="default"/>
                <w:bCs/>
                <w:color w:val="000000"/>
                <w:sz w:val="24"/>
                <w:szCs w:val="24"/>
                <w:lang w:val="en-US"/>
              </w:rPr>
              <w:t xml:space="preserve"> Bùi La Nhân</w:t>
            </w:r>
            <w:r>
              <w:rPr>
                <w:bCs/>
                <w:color w:val="000000"/>
                <w:sz w:val="24"/>
                <w:szCs w:val="24"/>
              </w:rPr>
              <w:t>.</w:t>
            </w:r>
          </w:p>
        </w:tc>
        <w:tc>
          <w:tcPr>
            <w:tcW w:w="538" w:type="pct"/>
            <w:shd w:val="clear" w:color="auto" w:fill="auto"/>
            <w:tcMar>
              <w:top w:w="0" w:type="dxa"/>
              <w:left w:w="108" w:type="dxa"/>
              <w:bottom w:w="0" w:type="dxa"/>
              <w:right w:w="108" w:type="dxa"/>
            </w:tcMar>
            <w:vAlign w:val="center"/>
          </w:tcPr>
          <w:p w14:paraId="2FE0D27B">
            <w:pPr>
              <w:spacing w:before="60" w:after="60" w:line="252" w:lineRule="auto"/>
              <w:jc w:val="center"/>
              <w:rPr>
                <w:color w:val="000000"/>
                <w:spacing w:val="-4"/>
                <w:sz w:val="24"/>
                <w:szCs w:val="24"/>
                <w:lang w:val="vi-VN"/>
              </w:rPr>
            </w:pPr>
            <w:r>
              <w:rPr>
                <w:color w:val="000000"/>
                <w:sz w:val="24"/>
                <w:szCs w:val="24"/>
              </w:rPr>
              <w:t xml:space="preserve">Tên gói thầu </w:t>
            </w:r>
            <w:bookmarkStart w:id="2" w:name="_Hlk23142082"/>
            <w:r>
              <w:rPr>
                <w:color w:val="000000"/>
                <w:spacing w:val="-4"/>
                <w:sz w:val="24"/>
                <w:szCs w:val="24"/>
              </w:rPr>
              <w:t xml:space="preserve"> </w:t>
            </w:r>
          </w:p>
          <w:bookmarkEnd w:id="2"/>
        </w:tc>
        <w:tc>
          <w:tcPr>
            <w:tcW w:w="499" w:type="pct"/>
            <w:shd w:val="clear" w:color="auto" w:fill="auto"/>
            <w:vAlign w:val="center"/>
          </w:tcPr>
          <w:p w14:paraId="5EF77EE4">
            <w:pPr>
              <w:spacing w:before="60" w:after="60" w:line="252" w:lineRule="auto"/>
              <w:jc w:val="center"/>
              <w:rPr>
                <w:rFonts w:hint="default"/>
                <w:bCs/>
                <w:color w:val="000000"/>
                <w:sz w:val="24"/>
                <w:szCs w:val="24"/>
                <w:lang w:val="en-US"/>
              </w:rPr>
            </w:pPr>
            <w:r>
              <w:rPr>
                <w:rFonts w:hint="default"/>
                <w:bCs/>
                <w:color w:val="000000"/>
                <w:sz w:val="24"/>
                <w:szCs w:val="24"/>
                <w:lang w:val="en-US"/>
              </w:rPr>
              <w:t>Tóm tắt công việc chính của gói thầu</w:t>
            </w:r>
          </w:p>
        </w:tc>
        <w:tc>
          <w:tcPr>
            <w:tcW w:w="405" w:type="pct"/>
            <w:vMerge w:val="restart"/>
            <w:tcBorders>
              <w:right w:val="single" w:color="auto" w:sz="4" w:space="0"/>
            </w:tcBorders>
            <w:vAlign w:val="center"/>
          </w:tcPr>
          <w:p w14:paraId="57CBD23C">
            <w:pPr>
              <w:spacing w:before="60" w:after="60" w:line="252" w:lineRule="auto"/>
              <w:jc w:val="center"/>
              <w:rPr>
                <w:rFonts w:hint="default"/>
                <w:bCs/>
                <w:color w:val="000000"/>
                <w:sz w:val="24"/>
                <w:szCs w:val="24"/>
                <w:lang w:val="en-US"/>
              </w:rPr>
            </w:pPr>
            <w:r>
              <w:rPr>
                <w:rFonts w:hint="default"/>
                <w:bCs/>
                <w:color w:val="000000"/>
                <w:sz w:val="24"/>
                <w:szCs w:val="24"/>
                <w:lang w:val="en-US"/>
              </w:rPr>
              <w:t>175.440.000</w:t>
            </w:r>
          </w:p>
        </w:tc>
        <w:tc>
          <w:tcPr>
            <w:tcW w:w="392" w:type="pct"/>
            <w:vMerge w:val="restart"/>
            <w:tcBorders>
              <w:top w:val="single" w:color="auto" w:sz="4" w:space="0"/>
              <w:left w:val="single" w:color="auto" w:sz="4" w:space="0"/>
              <w:right w:val="single" w:color="auto" w:sz="4" w:space="0"/>
            </w:tcBorders>
            <w:shd w:val="clear" w:color="auto" w:fill="auto"/>
            <w:tcMar>
              <w:top w:w="0" w:type="dxa"/>
              <w:left w:w="108" w:type="dxa"/>
              <w:bottom w:w="0" w:type="dxa"/>
              <w:right w:w="108" w:type="dxa"/>
            </w:tcMar>
            <w:vAlign w:val="top"/>
          </w:tcPr>
          <w:p w14:paraId="7E51396C">
            <w:pPr>
              <w:spacing w:after="90"/>
              <w:jc w:val="center"/>
              <w:textAlignment w:val="baseline"/>
              <w:rPr>
                <w:rFonts w:ascii="Times New Roman" w:hAnsi="Times New Roman"/>
                <w:bCs/>
                <w:sz w:val="24"/>
                <w:lang w:val="pt-BR"/>
              </w:rPr>
            </w:pPr>
          </w:p>
          <w:p w14:paraId="54BCE923">
            <w:pPr>
              <w:spacing w:after="90"/>
              <w:jc w:val="center"/>
              <w:textAlignment w:val="baseline"/>
              <w:rPr>
                <w:rFonts w:ascii="Times New Roman" w:hAnsi="Times New Roman"/>
                <w:bCs/>
                <w:sz w:val="24"/>
                <w:lang w:val="pt-BR"/>
              </w:rPr>
            </w:pPr>
          </w:p>
          <w:p w14:paraId="1DE448DC">
            <w:pPr>
              <w:spacing w:after="90"/>
              <w:jc w:val="center"/>
              <w:textAlignment w:val="baseline"/>
              <w:rPr>
                <w:rFonts w:hint="default" w:ascii="Times New Roman" w:hAnsi="Times New Roman" w:eastAsia="Times New Roman" w:cs="Times New Roman"/>
                <w:color w:val="000000"/>
                <w:sz w:val="24"/>
                <w:szCs w:val="28"/>
                <w:lang w:val="en-US" w:eastAsia="en-US" w:bidi="ar-SA"/>
              </w:rPr>
            </w:pPr>
            <w:r>
              <w:rPr>
                <w:rFonts w:ascii="Times New Roman" w:hAnsi="Times New Roman"/>
                <w:bCs/>
                <w:sz w:val="24"/>
                <w:lang w:val="pt-BR"/>
              </w:rPr>
              <w:fldChar w:fldCharType="begin"/>
            </w:r>
            <w:r>
              <w:rPr>
                <w:rFonts w:ascii="Times New Roman" w:hAnsi="Times New Roman"/>
                <w:bCs/>
                <w:sz w:val="24"/>
                <w:lang w:val="pt-BR"/>
              </w:rPr>
              <w:instrText xml:space="preserve"> LINK Excel.Sheet.8 "E:\\CONG TY\\Phong Ha\\Tu van dau thau\\Nam 2024\\46. Xa An Dung 61\\CAC VAN BAN LINK\\THONG TIN CONG TRINH DAU THAU.xls" "CAC THONG TIN GOI THAU!R32C3" \a \f 4 \r  \* MERGEFORMAT </w:instrText>
            </w:r>
            <w:r>
              <w:rPr>
                <w:rFonts w:ascii="Times New Roman" w:hAnsi="Times New Roman"/>
                <w:bCs/>
                <w:sz w:val="24"/>
                <w:lang w:val="pt-BR"/>
              </w:rPr>
              <w:fldChar w:fldCharType="separate"/>
            </w:r>
            <w:r>
              <w:rPr>
                <w:rFonts w:ascii="Times New Roman" w:hAnsi="Times New Roman"/>
                <w:color w:val="000000"/>
                <w:sz w:val="24"/>
                <w:lang w:val="pt-BR"/>
              </w:rPr>
              <w:t xml:space="preserve">Nguồn </w:t>
            </w:r>
            <w:r>
              <w:rPr>
                <w:rFonts w:ascii="Times New Roman" w:hAnsi="Times New Roman"/>
                <w:color w:val="000000"/>
                <w:sz w:val="24"/>
                <w:lang w:val="en-US"/>
              </w:rPr>
              <w:t>ngân sách cấp trên hỗ trợ và Chủ đầu tư huy động từ nguồn vốn hợp pháp khác</w:t>
            </w:r>
            <w:r>
              <w:rPr>
                <w:rFonts w:ascii="Times New Roman" w:hAnsi="Times New Roman"/>
                <w:bCs/>
                <w:sz w:val="24"/>
                <w:lang w:val="pt-BR"/>
              </w:rPr>
              <w:fldChar w:fldCharType="end"/>
            </w:r>
          </w:p>
        </w:tc>
        <w:tc>
          <w:tcPr>
            <w:tcW w:w="363" w:type="pct"/>
            <w:vMerge w:val="restart"/>
            <w:tcBorders>
              <w:left w:val="single" w:color="auto" w:sz="4" w:space="0"/>
            </w:tcBorders>
            <w:shd w:val="clear" w:color="auto" w:fill="auto"/>
            <w:tcMar>
              <w:top w:w="0" w:type="dxa"/>
              <w:left w:w="108" w:type="dxa"/>
              <w:bottom w:w="0" w:type="dxa"/>
              <w:right w:w="108" w:type="dxa"/>
            </w:tcMar>
            <w:vAlign w:val="center"/>
          </w:tcPr>
          <w:p w14:paraId="47D3B318">
            <w:pPr>
              <w:spacing w:before="60" w:after="60" w:line="252" w:lineRule="auto"/>
              <w:jc w:val="center"/>
              <w:rPr>
                <w:bCs/>
                <w:color w:val="000000"/>
                <w:sz w:val="24"/>
                <w:szCs w:val="24"/>
              </w:rPr>
            </w:pPr>
            <w:r>
              <w:rPr>
                <w:bCs/>
                <w:color w:val="000000"/>
                <w:sz w:val="24"/>
                <w:szCs w:val="24"/>
              </w:rPr>
              <w:t>Chào hàng cạnh tranh, qua mạng</w:t>
            </w:r>
          </w:p>
        </w:tc>
        <w:tc>
          <w:tcPr>
            <w:tcW w:w="376" w:type="pct"/>
            <w:vMerge w:val="restart"/>
            <w:shd w:val="clear" w:color="auto" w:fill="auto"/>
            <w:tcMar>
              <w:top w:w="0" w:type="dxa"/>
              <w:left w:w="108" w:type="dxa"/>
              <w:bottom w:w="0" w:type="dxa"/>
              <w:right w:w="108" w:type="dxa"/>
            </w:tcMar>
            <w:vAlign w:val="center"/>
          </w:tcPr>
          <w:p w14:paraId="1F8A6D6C">
            <w:pPr>
              <w:spacing w:before="60" w:after="60" w:line="252" w:lineRule="auto"/>
              <w:jc w:val="center"/>
              <w:rPr>
                <w:bCs/>
                <w:color w:val="000000"/>
                <w:sz w:val="24"/>
                <w:szCs w:val="24"/>
              </w:rPr>
            </w:pPr>
            <w:r>
              <w:rPr>
                <w:bCs/>
                <w:color w:val="000000"/>
                <w:sz w:val="24"/>
                <w:szCs w:val="24"/>
              </w:rPr>
              <w:t>1 giai đoạn, 1 túi hồ sơ</w:t>
            </w:r>
          </w:p>
        </w:tc>
        <w:tc>
          <w:tcPr>
            <w:tcW w:w="304" w:type="pct"/>
            <w:vMerge w:val="restart"/>
            <w:vAlign w:val="center"/>
          </w:tcPr>
          <w:p w14:paraId="1C948993">
            <w:pPr>
              <w:spacing w:before="60" w:after="60" w:line="252" w:lineRule="auto"/>
              <w:jc w:val="center"/>
              <w:rPr>
                <w:bCs/>
                <w:color w:val="000000"/>
                <w:sz w:val="24"/>
                <w:szCs w:val="24"/>
              </w:rPr>
            </w:pPr>
            <w:r>
              <w:rPr>
                <w:bCs/>
                <w:color w:val="000000"/>
                <w:sz w:val="24"/>
                <w:szCs w:val="24"/>
              </w:rPr>
              <w:t>30 ngày, kể từ ngày phát hành Hồ sơ mời thầu</w:t>
            </w:r>
          </w:p>
        </w:tc>
        <w:tc>
          <w:tcPr>
            <w:tcW w:w="430" w:type="pct"/>
            <w:vMerge w:val="restart"/>
            <w:shd w:val="clear" w:color="auto" w:fill="auto"/>
            <w:tcMar>
              <w:top w:w="0" w:type="dxa"/>
              <w:left w:w="108" w:type="dxa"/>
              <w:bottom w:w="0" w:type="dxa"/>
              <w:right w:w="108" w:type="dxa"/>
            </w:tcMar>
            <w:vAlign w:val="center"/>
          </w:tcPr>
          <w:p w14:paraId="096E8EDE">
            <w:pPr>
              <w:spacing w:before="60" w:after="60" w:line="252" w:lineRule="auto"/>
              <w:jc w:val="center"/>
              <w:rPr>
                <w:bCs/>
                <w:color w:val="000000"/>
                <w:sz w:val="24"/>
                <w:szCs w:val="24"/>
              </w:rPr>
            </w:pPr>
            <w:r>
              <w:rPr>
                <w:bCs/>
                <w:color w:val="000000"/>
                <w:sz w:val="24"/>
                <w:szCs w:val="24"/>
              </w:rPr>
              <w:t>Tháng 6/2024</w:t>
            </w:r>
          </w:p>
        </w:tc>
        <w:tc>
          <w:tcPr>
            <w:tcW w:w="222" w:type="pct"/>
            <w:vMerge w:val="restart"/>
            <w:vAlign w:val="center"/>
          </w:tcPr>
          <w:p w14:paraId="716B928B">
            <w:pPr>
              <w:spacing w:before="60" w:after="60" w:line="252" w:lineRule="auto"/>
              <w:jc w:val="center"/>
              <w:rPr>
                <w:bCs/>
                <w:color w:val="000000"/>
                <w:sz w:val="24"/>
                <w:szCs w:val="24"/>
              </w:rPr>
            </w:pPr>
            <w:r>
              <w:rPr>
                <w:bCs/>
                <w:color w:val="000000"/>
                <w:sz w:val="24"/>
                <w:szCs w:val="24"/>
                <w:lang w:val="vi-VN"/>
              </w:rPr>
              <w:t xml:space="preserve">Hợp đồng </w:t>
            </w:r>
            <w:r>
              <w:rPr>
                <w:bCs/>
                <w:color w:val="000000"/>
                <w:sz w:val="24"/>
                <w:szCs w:val="24"/>
              </w:rPr>
              <w:t>theo đơn giá cố định</w:t>
            </w:r>
          </w:p>
        </w:tc>
        <w:tc>
          <w:tcPr>
            <w:tcW w:w="300" w:type="pct"/>
            <w:vMerge w:val="restart"/>
            <w:vAlign w:val="center"/>
          </w:tcPr>
          <w:p w14:paraId="46E1CBAB">
            <w:pPr>
              <w:spacing w:before="60" w:after="60" w:line="252" w:lineRule="auto"/>
              <w:jc w:val="center"/>
              <w:rPr>
                <w:bCs/>
                <w:color w:val="000000"/>
                <w:sz w:val="24"/>
                <w:szCs w:val="24"/>
              </w:rPr>
            </w:pPr>
            <w:r>
              <w:rPr>
                <w:bCs/>
                <w:color w:val="FF0000"/>
                <w:sz w:val="24"/>
                <w:szCs w:val="24"/>
              </w:rPr>
              <w:t>210</w:t>
            </w:r>
            <w:r>
              <w:rPr>
                <w:bCs/>
                <w:color w:val="000000"/>
                <w:sz w:val="24"/>
                <w:szCs w:val="24"/>
                <w:lang w:val="vi-VN"/>
              </w:rPr>
              <w:t xml:space="preserve"> ngày, kể từ ngày h</w:t>
            </w:r>
            <w:r>
              <w:rPr>
                <w:bCs/>
                <w:color w:val="000000"/>
                <w:sz w:val="24"/>
                <w:szCs w:val="24"/>
                <w:lang w:val="en-SG"/>
              </w:rPr>
              <w:t>ợ</w:t>
            </w:r>
            <w:r>
              <w:rPr>
                <w:bCs/>
                <w:color w:val="000000"/>
                <w:sz w:val="24"/>
                <w:szCs w:val="24"/>
                <w:lang w:val="vi-VN"/>
              </w:rPr>
              <w:t>p đồng có hiệu lực</w:t>
            </w:r>
            <w:r>
              <w:rPr>
                <w:bCs/>
                <w:color w:val="000000"/>
                <w:sz w:val="24"/>
                <w:szCs w:val="24"/>
              </w:rPr>
              <w:t xml:space="preserve"> </w:t>
            </w:r>
          </w:p>
        </w:tc>
        <w:tc>
          <w:tcPr>
            <w:tcW w:w="269" w:type="pct"/>
            <w:vMerge w:val="restart"/>
          </w:tcPr>
          <w:p w14:paraId="5F4F2B9F">
            <w:pPr>
              <w:spacing w:before="60" w:after="60" w:line="252" w:lineRule="auto"/>
              <w:jc w:val="center"/>
              <w:rPr>
                <w:bCs/>
                <w:color w:val="000000"/>
                <w:sz w:val="24"/>
                <w:szCs w:val="24"/>
              </w:rPr>
            </w:pPr>
          </w:p>
          <w:p w14:paraId="7B495E0E">
            <w:pPr>
              <w:spacing w:before="60" w:after="60" w:line="252" w:lineRule="auto"/>
              <w:jc w:val="center"/>
              <w:rPr>
                <w:bCs/>
                <w:color w:val="000000"/>
                <w:sz w:val="24"/>
                <w:szCs w:val="24"/>
              </w:rPr>
            </w:pPr>
          </w:p>
          <w:p w14:paraId="48AA437C">
            <w:pPr>
              <w:spacing w:before="60" w:after="60" w:line="252" w:lineRule="auto"/>
              <w:jc w:val="center"/>
              <w:rPr>
                <w:bCs/>
                <w:color w:val="000000"/>
                <w:sz w:val="24"/>
                <w:szCs w:val="24"/>
              </w:rPr>
            </w:pPr>
          </w:p>
          <w:p w14:paraId="46EBC463">
            <w:pPr>
              <w:spacing w:before="60" w:after="60" w:line="252" w:lineRule="auto"/>
              <w:jc w:val="center"/>
              <w:rPr>
                <w:bCs/>
                <w:color w:val="000000"/>
                <w:sz w:val="24"/>
                <w:szCs w:val="24"/>
              </w:rPr>
            </w:pPr>
          </w:p>
          <w:p w14:paraId="5DD9E9B9">
            <w:pPr>
              <w:spacing w:before="60" w:after="60" w:line="252" w:lineRule="auto"/>
              <w:jc w:val="center"/>
              <w:rPr>
                <w:bCs/>
                <w:color w:val="000000"/>
                <w:sz w:val="24"/>
                <w:szCs w:val="24"/>
              </w:rPr>
            </w:pPr>
          </w:p>
          <w:p w14:paraId="0BE83D4B">
            <w:pPr>
              <w:spacing w:before="60" w:after="60" w:line="252" w:lineRule="auto"/>
              <w:jc w:val="center"/>
              <w:rPr>
                <w:bCs/>
                <w:color w:val="000000"/>
                <w:sz w:val="24"/>
                <w:szCs w:val="24"/>
              </w:rPr>
            </w:pPr>
          </w:p>
          <w:p w14:paraId="67842CFA">
            <w:pPr>
              <w:spacing w:before="60" w:after="60" w:line="252" w:lineRule="auto"/>
              <w:jc w:val="center"/>
              <w:rPr>
                <w:bCs/>
                <w:color w:val="000000"/>
                <w:sz w:val="24"/>
                <w:szCs w:val="24"/>
              </w:rPr>
            </w:pPr>
            <w:r>
              <w:rPr>
                <w:bCs/>
                <w:color w:val="000000"/>
                <w:sz w:val="24"/>
                <w:szCs w:val="24"/>
              </w:rPr>
              <w:t>Không áp dụng</w:t>
            </w:r>
          </w:p>
        </w:tc>
        <w:tc>
          <w:tcPr>
            <w:tcW w:w="260" w:type="pct"/>
            <w:vMerge w:val="restart"/>
          </w:tcPr>
          <w:p w14:paraId="54BE5EA4">
            <w:pPr>
              <w:spacing w:before="60" w:after="60" w:line="252" w:lineRule="auto"/>
              <w:jc w:val="center"/>
              <w:rPr>
                <w:bCs/>
                <w:color w:val="000000"/>
                <w:sz w:val="24"/>
                <w:szCs w:val="24"/>
                <w:highlight w:val="yellow"/>
              </w:rPr>
            </w:pPr>
          </w:p>
          <w:p w14:paraId="2641A208">
            <w:pPr>
              <w:spacing w:before="60" w:after="60" w:line="252" w:lineRule="auto"/>
              <w:jc w:val="center"/>
              <w:rPr>
                <w:bCs/>
                <w:color w:val="000000"/>
                <w:sz w:val="24"/>
                <w:szCs w:val="24"/>
                <w:highlight w:val="yellow"/>
              </w:rPr>
            </w:pPr>
          </w:p>
          <w:p w14:paraId="3EF1C853">
            <w:pPr>
              <w:spacing w:before="60" w:after="60" w:line="252" w:lineRule="auto"/>
              <w:jc w:val="center"/>
              <w:rPr>
                <w:bCs/>
                <w:color w:val="000000"/>
                <w:sz w:val="24"/>
                <w:szCs w:val="24"/>
                <w:highlight w:val="yellow"/>
              </w:rPr>
            </w:pPr>
          </w:p>
          <w:p w14:paraId="5C9EF390">
            <w:pPr>
              <w:spacing w:before="60" w:after="60" w:line="252" w:lineRule="auto"/>
              <w:jc w:val="center"/>
              <w:rPr>
                <w:bCs/>
                <w:color w:val="000000"/>
                <w:sz w:val="24"/>
                <w:szCs w:val="24"/>
                <w:highlight w:val="yellow"/>
              </w:rPr>
            </w:pPr>
          </w:p>
          <w:p w14:paraId="58F2CC3A">
            <w:pPr>
              <w:spacing w:before="60" w:after="60" w:line="252" w:lineRule="auto"/>
              <w:jc w:val="center"/>
              <w:rPr>
                <w:bCs/>
                <w:color w:val="000000"/>
                <w:sz w:val="24"/>
                <w:szCs w:val="24"/>
                <w:highlight w:val="yellow"/>
              </w:rPr>
            </w:pPr>
          </w:p>
          <w:p w14:paraId="7591C301">
            <w:pPr>
              <w:spacing w:before="60" w:after="60" w:line="252" w:lineRule="auto"/>
              <w:jc w:val="center"/>
              <w:rPr>
                <w:bCs/>
                <w:color w:val="000000"/>
                <w:sz w:val="24"/>
                <w:szCs w:val="24"/>
                <w:highlight w:val="yellow"/>
              </w:rPr>
            </w:pPr>
          </w:p>
          <w:p w14:paraId="73F2F9D1">
            <w:pPr>
              <w:spacing w:before="60" w:after="60" w:line="252" w:lineRule="auto"/>
              <w:jc w:val="center"/>
              <w:rPr>
                <w:bCs/>
                <w:color w:val="000000"/>
                <w:sz w:val="24"/>
                <w:szCs w:val="24"/>
                <w:highlight w:val="yellow"/>
              </w:rPr>
            </w:pPr>
          </w:p>
        </w:tc>
      </w:tr>
      <w:tr w14:paraId="1316A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2" w:hRule="atLeast"/>
        </w:trPr>
        <w:tc>
          <w:tcPr>
            <w:tcW w:w="180" w:type="pct"/>
            <w:vMerge w:val="continue"/>
            <w:shd w:val="clear" w:color="auto" w:fill="auto"/>
            <w:tcMar>
              <w:top w:w="0" w:type="dxa"/>
              <w:left w:w="108" w:type="dxa"/>
              <w:bottom w:w="0" w:type="dxa"/>
              <w:right w:w="108" w:type="dxa"/>
            </w:tcMar>
            <w:vAlign w:val="center"/>
          </w:tcPr>
          <w:p w14:paraId="3F42E222">
            <w:pPr>
              <w:spacing w:before="60" w:after="60" w:line="252" w:lineRule="auto"/>
              <w:jc w:val="center"/>
              <w:rPr>
                <w:bCs/>
                <w:color w:val="000000"/>
                <w:sz w:val="24"/>
                <w:szCs w:val="24"/>
              </w:rPr>
            </w:pPr>
          </w:p>
        </w:tc>
        <w:tc>
          <w:tcPr>
            <w:tcW w:w="456" w:type="pct"/>
            <w:vMerge w:val="continue"/>
          </w:tcPr>
          <w:p w14:paraId="03EA170F">
            <w:pPr>
              <w:spacing w:before="60" w:after="60" w:line="252" w:lineRule="auto"/>
              <w:jc w:val="center"/>
              <w:rPr>
                <w:bCs/>
                <w:color w:val="000000"/>
                <w:sz w:val="24"/>
                <w:szCs w:val="24"/>
              </w:rPr>
            </w:pPr>
          </w:p>
        </w:tc>
        <w:tc>
          <w:tcPr>
            <w:tcW w:w="538" w:type="pct"/>
            <w:shd w:val="clear" w:color="auto" w:fill="auto"/>
            <w:tcMar>
              <w:top w:w="0" w:type="dxa"/>
              <w:left w:w="108" w:type="dxa"/>
              <w:bottom w:w="0" w:type="dxa"/>
              <w:right w:w="108" w:type="dxa"/>
            </w:tcMar>
            <w:vAlign w:val="center"/>
          </w:tcPr>
          <w:p w14:paraId="468352B8">
            <w:pPr>
              <w:spacing w:before="60" w:after="60" w:line="252" w:lineRule="auto"/>
              <w:jc w:val="center"/>
              <w:rPr>
                <w:color w:val="000000"/>
                <w:sz w:val="24"/>
                <w:szCs w:val="24"/>
              </w:rPr>
            </w:pPr>
            <w:r>
              <w:rPr>
                <w:bCs/>
                <w:color w:val="000000"/>
                <w:sz w:val="24"/>
                <w:szCs w:val="24"/>
              </w:rPr>
              <w:t>Mua sắm xi măng thực hiện Kế hoạch làm đường giao thông, rãnh thoát nước, kênh mương nội đồng năm 2024</w:t>
            </w:r>
          </w:p>
        </w:tc>
        <w:tc>
          <w:tcPr>
            <w:tcW w:w="499" w:type="pct"/>
            <w:shd w:val="clear" w:color="auto" w:fill="auto"/>
            <w:vAlign w:val="center"/>
          </w:tcPr>
          <w:p w14:paraId="3709467E">
            <w:pPr>
              <w:spacing w:before="60" w:after="60" w:line="252" w:lineRule="auto"/>
              <w:jc w:val="center"/>
              <w:rPr>
                <w:rFonts w:hint="default"/>
                <w:bCs/>
                <w:color w:val="000000"/>
                <w:sz w:val="24"/>
                <w:szCs w:val="24"/>
                <w:lang w:val="en-US"/>
              </w:rPr>
            </w:pPr>
            <w:r>
              <w:rPr>
                <w:rFonts w:hint="default"/>
                <w:bCs/>
                <w:color w:val="000000"/>
                <w:sz w:val="24"/>
                <w:szCs w:val="24"/>
                <w:lang w:val="en-US"/>
              </w:rPr>
              <w:t>Cung ứng xi măng cho xã Bùi La Nhân thực hiện Kế hoạch làm đường giao thông, rãnh thoát nước, kênh mương nội đồng năm 2024</w:t>
            </w:r>
          </w:p>
        </w:tc>
        <w:tc>
          <w:tcPr>
            <w:tcW w:w="405" w:type="pct"/>
            <w:vMerge w:val="continue"/>
            <w:tcBorders>
              <w:right w:val="single" w:color="auto" w:sz="4" w:space="0"/>
            </w:tcBorders>
            <w:vAlign w:val="center"/>
          </w:tcPr>
          <w:p w14:paraId="79E22DF5">
            <w:pPr>
              <w:spacing w:before="60" w:after="60" w:line="252" w:lineRule="auto"/>
              <w:jc w:val="center"/>
              <w:rPr>
                <w:rFonts w:hint="default"/>
                <w:bCs/>
                <w:color w:val="000000"/>
                <w:sz w:val="24"/>
                <w:szCs w:val="24"/>
                <w:lang w:val="nl-NL"/>
              </w:rPr>
            </w:pPr>
          </w:p>
        </w:tc>
        <w:tc>
          <w:tcPr>
            <w:tcW w:w="392" w:type="pct"/>
            <w:vMerge w:val="continue"/>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509F634">
            <w:pPr>
              <w:spacing w:before="60" w:after="60" w:line="252" w:lineRule="auto"/>
              <w:jc w:val="center"/>
              <w:rPr>
                <w:rFonts w:hint="default"/>
                <w:bCs/>
                <w:color w:val="000000"/>
                <w:sz w:val="24"/>
                <w:szCs w:val="24"/>
                <w:lang w:val="nl-NL"/>
              </w:rPr>
            </w:pPr>
          </w:p>
        </w:tc>
        <w:tc>
          <w:tcPr>
            <w:tcW w:w="363" w:type="pct"/>
            <w:vMerge w:val="continue"/>
            <w:tcBorders>
              <w:left w:val="single" w:color="auto" w:sz="4" w:space="0"/>
            </w:tcBorders>
            <w:shd w:val="clear" w:color="auto" w:fill="auto"/>
            <w:tcMar>
              <w:top w:w="0" w:type="dxa"/>
              <w:left w:w="108" w:type="dxa"/>
              <w:bottom w:w="0" w:type="dxa"/>
              <w:right w:w="108" w:type="dxa"/>
            </w:tcMar>
            <w:vAlign w:val="center"/>
          </w:tcPr>
          <w:p w14:paraId="1A371FCE">
            <w:pPr>
              <w:spacing w:before="60" w:after="60" w:line="252" w:lineRule="auto"/>
              <w:jc w:val="center"/>
              <w:rPr>
                <w:bCs/>
                <w:color w:val="000000"/>
                <w:sz w:val="24"/>
                <w:szCs w:val="24"/>
              </w:rPr>
            </w:pPr>
          </w:p>
        </w:tc>
        <w:tc>
          <w:tcPr>
            <w:tcW w:w="376" w:type="pct"/>
            <w:vMerge w:val="continue"/>
            <w:shd w:val="clear" w:color="auto" w:fill="auto"/>
            <w:tcMar>
              <w:top w:w="0" w:type="dxa"/>
              <w:left w:w="108" w:type="dxa"/>
              <w:bottom w:w="0" w:type="dxa"/>
              <w:right w:w="108" w:type="dxa"/>
            </w:tcMar>
            <w:vAlign w:val="center"/>
          </w:tcPr>
          <w:p w14:paraId="4FCBDF80">
            <w:pPr>
              <w:spacing w:before="60" w:after="60" w:line="252" w:lineRule="auto"/>
              <w:jc w:val="center"/>
              <w:rPr>
                <w:bCs/>
                <w:color w:val="000000"/>
                <w:sz w:val="24"/>
                <w:szCs w:val="24"/>
              </w:rPr>
            </w:pPr>
          </w:p>
        </w:tc>
        <w:tc>
          <w:tcPr>
            <w:tcW w:w="304" w:type="pct"/>
            <w:vMerge w:val="continue"/>
          </w:tcPr>
          <w:p w14:paraId="5B4A1E25">
            <w:pPr>
              <w:spacing w:before="60" w:after="60" w:line="252" w:lineRule="auto"/>
              <w:jc w:val="center"/>
              <w:rPr>
                <w:bCs/>
                <w:color w:val="000000"/>
                <w:sz w:val="24"/>
                <w:szCs w:val="24"/>
              </w:rPr>
            </w:pPr>
          </w:p>
        </w:tc>
        <w:tc>
          <w:tcPr>
            <w:tcW w:w="430" w:type="pct"/>
            <w:vMerge w:val="continue"/>
            <w:shd w:val="clear" w:color="auto" w:fill="auto"/>
            <w:tcMar>
              <w:top w:w="0" w:type="dxa"/>
              <w:left w:w="108" w:type="dxa"/>
              <w:bottom w:w="0" w:type="dxa"/>
              <w:right w:w="108" w:type="dxa"/>
            </w:tcMar>
            <w:vAlign w:val="center"/>
          </w:tcPr>
          <w:p w14:paraId="457359D1">
            <w:pPr>
              <w:spacing w:before="60" w:after="60" w:line="252" w:lineRule="auto"/>
              <w:jc w:val="center"/>
              <w:rPr>
                <w:bCs/>
                <w:color w:val="000000"/>
                <w:sz w:val="24"/>
                <w:szCs w:val="24"/>
              </w:rPr>
            </w:pPr>
          </w:p>
        </w:tc>
        <w:tc>
          <w:tcPr>
            <w:tcW w:w="222" w:type="pct"/>
            <w:vMerge w:val="continue"/>
            <w:vAlign w:val="center"/>
          </w:tcPr>
          <w:p w14:paraId="754981BC">
            <w:pPr>
              <w:spacing w:before="60" w:after="60" w:line="252" w:lineRule="auto"/>
              <w:jc w:val="center"/>
              <w:rPr>
                <w:bCs/>
                <w:color w:val="000000"/>
                <w:sz w:val="24"/>
                <w:szCs w:val="24"/>
                <w:lang w:val="vi-VN"/>
              </w:rPr>
            </w:pPr>
          </w:p>
        </w:tc>
        <w:tc>
          <w:tcPr>
            <w:tcW w:w="300" w:type="pct"/>
            <w:vMerge w:val="continue"/>
            <w:vAlign w:val="center"/>
          </w:tcPr>
          <w:p w14:paraId="20030F32">
            <w:pPr>
              <w:spacing w:before="60" w:after="60" w:line="252" w:lineRule="auto"/>
              <w:jc w:val="center"/>
              <w:rPr>
                <w:bCs/>
                <w:color w:val="000000"/>
                <w:sz w:val="24"/>
                <w:szCs w:val="24"/>
                <w:lang w:val="vi-VN"/>
              </w:rPr>
            </w:pPr>
          </w:p>
        </w:tc>
        <w:tc>
          <w:tcPr>
            <w:tcW w:w="269" w:type="pct"/>
            <w:vMerge w:val="continue"/>
          </w:tcPr>
          <w:p w14:paraId="306ABB6B">
            <w:pPr>
              <w:spacing w:before="60" w:after="60" w:line="252" w:lineRule="auto"/>
              <w:jc w:val="center"/>
              <w:rPr>
                <w:bCs/>
                <w:color w:val="000000"/>
                <w:sz w:val="24"/>
                <w:szCs w:val="24"/>
              </w:rPr>
            </w:pPr>
          </w:p>
        </w:tc>
        <w:tc>
          <w:tcPr>
            <w:tcW w:w="260" w:type="pct"/>
            <w:vMerge w:val="continue"/>
          </w:tcPr>
          <w:p w14:paraId="09A4D1F0">
            <w:pPr>
              <w:spacing w:before="60" w:after="60" w:line="252" w:lineRule="auto"/>
              <w:jc w:val="center"/>
              <w:rPr>
                <w:bCs/>
                <w:color w:val="000000"/>
                <w:sz w:val="24"/>
                <w:szCs w:val="24"/>
                <w:highlight w:val="yellow"/>
              </w:rPr>
            </w:pPr>
          </w:p>
        </w:tc>
      </w:tr>
      <w:tr w14:paraId="1974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80" w:type="pct"/>
            <w:shd w:val="clear" w:color="auto" w:fill="auto"/>
            <w:tcMar>
              <w:top w:w="0" w:type="dxa"/>
              <w:left w:w="108" w:type="dxa"/>
              <w:bottom w:w="0" w:type="dxa"/>
              <w:right w:w="108" w:type="dxa"/>
            </w:tcMar>
            <w:vAlign w:val="center"/>
          </w:tcPr>
          <w:p w14:paraId="66ADD071">
            <w:pPr>
              <w:spacing w:before="60" w:after="60" w:line="252" w:lineRule="auto"/>
              <w:jc w:val="center"/>
              <w:rPr>
                <w:bCs/>
                <w:color w:val="000000"/>
                <w:sz w:val="24"/>
                <w:szCs w:val="24"/>
              </w:rPr>
            </w:pPr>
          </w:p>
        </w:tc>
        <w:tc>
          <w:tcPr>
            <w:tcW w:w="456" w:type="pct"/>
          </w:tcPr>
          <w:p w14:paraId="352274C4">
            <w:pPr>
              <w:spacing w:before="60" w:after="60" w:line="252" w:lineRule="auto"/>
              <w:jc w:val="center"/>
              <w:rPr>
                <w:bCs/>
                <w:color w:val="000000"/>
                <w:sz w:val="24"/>
                <w:szCs w:val="24"/>
              </w:rPr>
            </w:pPr>
          </w:p>
        </w:tc>
        <w:tc>
          <w:tcPr>
            <w:tcW w:w="1037" w:type="pct"/>
            <w:gridSpan w:val="2"/>
            <w:shd w:val="clear" w:color="auto" w:fill="auto"/>
            <w:tcMar>
              <w:top w:w="0" w:type="dxa"/>
              <w:left w:w="108" w:type="dxa"/>
              <w:bottom w:w="0" w:type="dxa"/>
              <w:right w:w="108" w:type="dxa"/>
            </w:tcMar>
            <w:vAlign w:val="center"/>
          </w:tcPr>
          <w:p w14:paraId="05E64465">
            <w:pPr>
              <w:spacing w:before="60" w:after="60" w:line="252" w:lineRule="auto"/>
              <w:jc w:val="center"/>
              <w:rPr>
                <w:rFonts w:hint="default"/>
                <w:b/>
                <w:bCs w:val="0"/>
                <w:color w:val="000000"/>
                <w:sz w:val="24"/>
                <w:szCs w:val="24"/>
                <w:lang w:val="en-US"/>
              </w:rPr>
            </w:pPr>
            <w:r>
              <w:rPr>
                <w:rFonts w:hint="default"/>
                <w:b/>
                <w:bCs w:val="0"/>
                <w:color w:val="000000"/>
                <w:sz w:val="24"/>
                <w:szCs w:val="24"/>
                <w:lang w:val="en-US"/>
              </w:rPr>
              <w:t>Tổng cộng</w:t>
            </w:r>
          </w:p>
        </w:tc>
        <w:tc>
          <w:tcPr>
            <w:tcW w:w="405" w:type="pct"/>
            <w:vAlign w:val="center"/>
          </w:tcPr>
          <w:p w14:paraId="6DDA8B37">
            <w:pPr>
              <w:spacing w:before="60" w:after="60" w:line="252" w:lineRule="auto"/>
              <w:jc w:val="center"/>
              <w:rPr>
                <w:rFonts w:hint="default"/>
                <w:b/>
                <w:bCs w:val="0"/>
                <w:color w:val="000000"/>
                <w:sz w:val="24"/>
                <w:szCs w:val="24"/>
                <w:lang w:val="en-US"/>
              </w:rPr>
            </w:pPr>
            <w:r>
              <w:rPr>
                <w:rFonts w:hint="default"/>
                <w:b/>
                <w:bCs w:val="0"/>
                <w:color w:val="000000"/>
                <w:sz w:val="24"/>
                <w:szCs w:val="24"/>
                <w:lang w:val="en-US"/>
              </w:rPr>
              <w:t>175.440.000</w:t>
            </w:r>
          </w:p>
        </w:tc>
        <w:tc>
          <w:tcPr>
            <w:tcW w:w="392" w:type="pct"/>
            <w:tcBorders>
              <w:top w:val="single" w:color="auto" w:sz="4" w:space="0"/>
            </w:tcBorders>
            <w:shd w:val="clear" w:color="auto" w:fill="auto"/>
            <w:tcMar>
              <w:top w:w="0" w:type="dxa"/>
              <w:left w:w="108" w:type="dxa"/>
              <w:bottom w:w="0" w:type="dxa"/>
              <w:right w:w="108" w:type="dxa"/>
            </w:tcMar>
            <w:vAlign w:val="center"/>
          </w:tcPr>
          <w:p w14:paraId="741BA37B">
            <w:pPr>
              <w:spacing w:before="60" w:after="60" w:line="252" w:lineRule="auto"/>
              <w:jc w:val="center"/>
              <w:rPr>
                <w:rFonts w:hint="default"/>
                <w:b/>
                <w:bCs w:val="0"/>
                <w:color w:val="000000"/>
                <w:sz w:val="24"/>
                <w:szCs w:val="24"/>
                <w:lang w:val="en-US"/>
              </w:rPr>
            </w:pPr>
          </w:p>
        </w:tc>
        <w:tc>
          <w:tcPr>
            <w:tcW w:w="363" w:type="pct"/>
            <w:shd w:val="clear" w:color="auto" w:fill="auto"/>
            <w:tcMar>
              <w:top w:w="0" w:type="dxa"/>
              <w:left w:w="108" w:type="dxa"/>
              <w:bottom w:w="0" w:type="dxa"/>
              <w:right w:w="108" w:type="dxa"/>
            </w:tcMar>
            <w:vAlign w:val="center"/>
          </w:tcPr>
          <w:p w14:paraId="635B921A">
            <w:pPr>
              <w:spacing w:before="60" w:after="60" w:line="252" w:lineRule="auto"/>
              <w:jc w:val="center"/>
              <w:rPr>
                <w:bCs/>
                <w:color w:val="000000"/>
                <w:sz w:val="24"/>
                <w:szCs w:val="24"/>
              </w:rPr>
            </w:pPr>
          </w:p>
        </w:tc>
        <w:tc>
          <w:tcPr>
            <w:tcW w:w="376" w:type="pct"/>
            <w:shd w:val="clear" w:color="auto" w:fill="auto"/>
            <w:tcMar>
              <w:top w:w="0" w:type="dxa"/>
              <w:left w:w="108" w:type="dxa"/>
              <w:bottom w:w="0" w:type="dxa"/>
              <w:right w:w="108" w:type="dxa"/>
            </w:tcMar>
            <w:vAlign w:val="center"/>
          </w:tcPr>
          <w:p w14:paraId="4B00E95A">
            <w:pPr>
              <w:spacing w:before="60" w:after="60" w:line="252" w:lineRule="auto"/>
              <w:jc w:val="center"/>
              <w:rPr>
                <w:bCs/>
                <w:color w:val="000000"/>
                <w:sz w:val="24"/>
                <w:szCs w:val="24"/>
              </w:rPr>
            </w:pPr>
          </w:p>
        </w:tc>
        <w:tc>
          <w:tcPr>
            <w:tcW w:w="304" w:type="pct"/>
          </w:tcPr>
          <w:p w14:paraId="7D050FD6">
            <w:pPr>
              <w:spacing w:before="60" w:after="60" w:line="252" w:lineRule="auto"/>
              <w:jc w:val="center"/>
              <w:rPr>
                <w:bCs/>
                <w:color w:val="000000"/>
                <w:sz w:val="24"/>
                <w:szCs w:val="24"/>
              </w:rPr>
            </w:pPr>
          </w:p>
        </w:tc>
        <w:tc>
          <w:tcPr>
            <w:tcW w:w="430" w:type="pct"/>
            <w:shd w:val="clear" w:color="auto" w:fill="auto"/>
            <w:tcMar>
              <w:top w:w="0" w:type="dxa"/>
              <w:left w:w="108" w:type="dxa"/>
              <w:bottom w:w="0" w:type="dxa"/>
              <w:right w:w="108" w:type="dxa"/>
            </w:tcMar>
            <w:vAlign w:val="center"/>
          </w:tcPr>
          <w:p w14:paraId="463D8565">
            <w:pPr>
              <w:spacing w:before="60" w:after="60" w:line="252" w:lineRule="auto"/>
              <w:jc w:val="center"/>
              <w:rPr>
                <w:bCs/>
                <w:color w:val="000000"/>
                <w:sz w:val="24"/>
                <w:szCs w:val="24"/>
              </w:rPr>
            </w:pPr>
          </w:p>
        </w:tc>
        <w:tc>
          <w:tcPr>
            <w:tcW w:w="222" w:type="pct"/>
          </w:tcPr>
          <w:p w14:paraId="413348E3">
            <w:pPr>
              <w:spacing w:before="60" w:after="60" w:line="252" w:lineRule="auto"/>
              <w:jc w:val="center"/>
              <w:rPr>
                <w:bCs/>
                <w:color w:val="000000"/>
                <w:sz w:val="24"/>
                <w:szCs w:val="24"/>
              </w:rPr>
            </w:pPr>
          </w:p>
        </w:tc>
        <w:tc>
          <w:tcPr>
            <w:tcW w:w="300" w:type="pct"/>
            <w:vAlign w:val="center"/>
          </w:tcPr>
          <w:p w14:paraId="677FF418">
            <w:pPr>
              <w:spacing w:before="60" w:after="60" w:line="252" w:lineRule="auto"/>
              <w:jc w:val="center"/>
              <w:rPr>
                <w:bCs/>
                <w:color w:val="000000"/>
                <w:sz w:val="24"/>
                <w:szCs w:val="24"/>
              </w:rPr>
            </w:pPr>
          </w:p>
        </w:tc>
        <w:tc>
          <w:tcPr>
            <w:tcW w:w="269" w:type="pct"/>
          </w:tcPr>
          <w:p w14:paraId="32C42F6F">
            <w:pPr>
              <w:spacing w:before="60" w:after="60" w:line="252" w:lineRule="auto"/>
              <w:jc w:val="center"/>
              <w:rPr>
                <w:bCs/>
                <w:color w:val="000000"/>
                <w:sz w:val="24"/>
                <w:szCs w:val="24"/>
              </w:rPr>
            </w:pPr>
          </w:p>
        </w:tc>
        <w:tc>
          <w:tcPr>
            <w:tcW w:w="260" w:type="pct"/>
          </w:tcPr>
          <w:p w14:paraId="2B5C92B0">
            <w:pPr>
              <w:spacing w:before="60" w:after="60" w:line="252" w:lineRule="auto"/>
              <w:jc w:val="center"/>
              <w:rPr>
                <w:bCs/>
                <w:color w:val="000000"/>
                <w:sz w:val="24"/>
                <w:szCs w:val="24"/>
              </w:rPr>
            </w:pPr>
          </w:p>
        </w:tc>
      </w:tr>
    </w:tbl>
    <w:p w14:paraId="7932E194">
      <w:pPr>
        <w:spacing w:line="252" w:lineRule="auto"/>
      </w:pPr>
    </w:p>
    <w:sectPr>
      <w:pgSz w:w="16840" w:h="11907" w:orient="landscape"/>
      <w:pgMar w:top="1134" w:right="1134" w:bottom="1134" w:left="1701" w:header="567" w:footer="567" w:gutter="0"/>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nTime">
    <w:panose1 w:val="020B7200000000000000"/>
    <w:charset w:val="00"/>
    <w:family w:val="swiss"/>
    <w:pitch w:val="default"/>
    <w:sig w:usb0="00000000" w:usb1="00000000" w:usb2="00000000" w:usb3="00000000" w:csb0="00000000" w:csb1="00000000"/>
  </w:font>
  <w:font w:name="Times New Roman Bold">
    <w:altName w:val="Times New Roman"/>
    <w:panose1 w:val="00000000000000000000"/>
    <w:charset w:val="00"/>
    <w:family w:val="roman"/>
    <w:pitch w:val="default"/>
    <w:sig w:usb0="00000000" w:usb1="00000000" w:usb2="00000000" w:usb3="00000000" w:csb0="00000000" w:csb1="00000000"/>
  </w:font>
  <w:font w:name="Batang">
    <w:altName w:val="Malgun Gothic"/>
    <w:panose1 w:val="02030600000101010101"/>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5DA7C">
    <w:pPr>
      <w:pStyle w:val="6"/>
    </w:pPr>
    <w:r>
      <w:rPr>
        <w:rStyle w:val="1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3C602">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3A90140B">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F216D">
    <w:pPr>
      <w:pStyle w:val="9"/>
      <w:jc w:val="cent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A48"/>
    <w:rsid w:val="00482A48"/>
    <w:rsid w:val="00525C2B"/>
    <w:rsid w:val="009D3379"/>
    <w:rsid w:val="00A02F14"/>
    <w:rsid w:val="00E6078C"/>
    <w:rsid w:val="533926DD"/>
    <w:rsid w:val="59CE76F4"/>
    <w:rsid w:val="5B06790F"/>
    <w:rsid w:val="66C6001B"/>
    <w:rsid w:val="6F2F5969"/>
    <w:rsid w:val="711D7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uiPriority="0" w:name="annotation text"/>
    <w:lsdException w:qFormat="1"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8"/>
      <w:szCs w:val="28"/>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semiHidden/>
    <w:qFormat/>
    <w:uiPriority w:val="0"/>
    <w:rPr>
      <w:rFonts w:ascii="Tahoma" w:hAnsi="Tahoma" w:cs="Tahoma"/>
      <w:sz w:val="16"/>
      <w:szCs w:val="16"/>
    </w:rPr>
  </w:style>
  <w:style w:type="paragraph" w:styleId="5">
    <w:name w:val="Body Text"/>
    <w:basedOn w:val="1"/>
    <w:link w:val="19"/>
    <w:qFormat/>
    <w:uiPriority w:val="0"/>
    <w:pPr>
      <w:jc w:val="both"/>
    </w:pPr>
    <w:rPr>
      <w:rFonts w:ascii=".VnTime" w:hAnsi=".VnTime"/>
      <w:b/>
      <w:szCs w:val="20"/>
    </w:rPr>
  </w:style>
  <w:style w:type="paragraph" w:styleId="6">
    <w:name w:val="footer"/>
    <w:basedOn w:val="1"/>
    <w:qFormat/>
    <w:uiPriority w:val="0"/>
    <w:pPr>
      <w:tabs>
        <w:tab w:val="center" w:pos="4320"/>
        <w:tab w:val="right" w:pos="8640"/>
      </w:tabs>
    </w:pPr>
  </w:style>
  <w:style w:type="character" w:styleId="7">
    <w:name w:val="footnote reference"/>
    <w:qFormat/>
    <w:uiPriority w:val="0"/>
    <w:rPr>
      <w:vertAlign w:val="superscript"/>
    </w:rPr>
  </w:style>
  <w:style w:type="paragraph" w:styleId="8">
    <w:name w:val="footnote text"/>
    <w:basedOn w:val="1"/>
    <w:link w:val="20"/>
    <w:qFormat/>
    <w:uiPriority w:val="0"/>
    <w:rPr>
      <w:sz w:val="20"/>
      <w:szCs w:val="20"/>
    </w:rPr>
  </w:style>
  <w:style w:type="paragraph" w:styleId="9">
    <w:name w:val="header"/>
    <w:basedOn w:val="1"/>
    <w:link w:val="18"/>
    <w:unhideWhenUsed/>
    <w:qFormat/>
    <w:uiPriority w:val="0"/>
    <w:pPr>
      <w:tabs>
        <w:tab w:val="center" w:pos="4680"/>
        <w:tab w:val="right" w:pos="9360"/>
      </w:tabs>
    </w:pPr>
  </w:style>
  <w:style w:type="paragraph" w:styleId="10">
    <w:name w:val="Normal (Web)"/>
    <w:basedOn w:val="1"/>
    <w:qFormat/>
    <w:uiPriority w:val="99"/>
    <w:pPr>
      <w:spacing w:before="100" w:beforeAutospacing="1" w:after="100" w:afterAutospacing="1"/>
    </w:pPr>
    <w:rPr>
      <w:sz w:val="24"/>
      <w:szCs w:val="24"/>
    </w:rPr>
  </w:style>
  <w:style w:type="character" w:styleId="11">
    <w:name w:val="page number"/>
    <w:basedOn w:val="2"/>
    <w:qFormat/>
    <w:uiPriority w:val="0"/>
  </w:style>
  <w:style w:type="character" w:styleId="12">
    <w:name w:val="Strong"/>
    <w:basedOn w:val="2"/>
    <w:qFormat/>
    <w:uiPriority w:val="0"/>
    <w:rPr>
      <w:b/>
      <w:bCs/>
    </w:rPr>
  </w:style>
  <w:style w:type="table" w:styleId="13">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laceholder Text"/>
    <w:basedOn w:val="2"/>
    <w:semiHidden/>
    <w:qFormat/>
    <w:uiPriority w:val="99"/>
    <w:rPr>
      <w:color w:val="808080"/>
    </w:rPr>
  </w:style>
  <w:style w:type="paragraph" w:styleId="15">
    <w:name w:val="List Paragraph"/>
    <w:basedOn w:val="1"/>
    <w:qFormat/>
    <w:uiPriority w:val="34"/>
    <w:pPr>
      <w:ind w:left="720"/>
      <w:contextualSpacing/>
    </w:pPr>
  </w:style>
  <w:style w:type="character" w:customStyle="1" w:styleId="16">
    <w:name w:val="fontstyle01"/>
    <w:basedOn w:val="2"/>
    <w:qFormat/>
    <w:uiPriority w:val="0"/>
    <w:rPr>
      <w:rFonts w:hint="default" w:ascii="Times New Roman" w:hAnsi="Times New Roman" w:cs="Times New Roman"/>
      <w:color w:val="000000"/>
      <w:sz w:val="28"/>
      <w:szCs w:val="28"/>
    </w:rPr>
  </w:style>
  <w:style w:type="character" w:customStyle="1" w:styleId="17">
    <w:name w:val="fontstyle21"/>
    <w:basedOn w:val="2"/>
    <w:qFormat/>
    <w:uiPriority w:val="0"/>
    <w:rPr>
      <w:rFonts w:hint="default" w:ascii="Times New Roman" w:hAnsi="Times New Roman" w:cs="Times New Roman"/>
      <w:i/>
      <w:iCs/>
      <w:color w:val="000000"/>
      <w:sz w:val="28"/>
      <w:szCs w:val="28"/>
    </w:rPr>
  </w:style>
  <w:style w:type="character" w:customStyle="1" w:styleId="18">
    <w:name w:val="Header Char"/>
    <w:basedOn w:val="2"/>
    <w:link w:val="9"/>
    <w:qFormat/>
    <w:uiPriority w:val="0"/>
    <w:rPr>
      <w:sz w:val="28"/>
      <w:szCs w:val="28"/>
    </w:rPr>
  </w:style>
  <w:style w:type="character" w:customStyle="1" w:styleId="19">
    <w:name w:val="Body Text Char"/>
    <w:basedOn w:val="2"/>
    <w:link w:val="5"/>
    <w:qFormat/>
    <w:uiPriority w:val="0"/>
    <w:rPr>
      <w:rFonts w:ascii=".VnTime" w:hAnsi=".VnTime"/>
      <w:b/>
      <w:sz w:val="28"/>
    </w:rPr>
  </w:style>
  <w:style w:type="character" w:customStyle="1" w:styleId="20">
    <w:name w:val="Footnote Text Char"/>
    <w:basedOn w:val="2"/>
    <w:link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header" Target="header1.xml"/><Relationship Id="rId7" Type="http://schemas.openxmlformats.org/officeDocument/2006/relationships/customXml" Target="../customXml/item1.xml"/><Relationship Id="rId2"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styles" Target="styles.xml"/><Relationship Id="rId11" Type="http://schemas.openxmlformats.org/officeDocument/2006/relationships/customXml" Target="../customXml/item4.xml"/><Relationship Id="rId5" Type="http://schemas.openxmlformats.org/officeDocument/2006/relationships/footer" Target="footer2.xml"/><Relationship Id="rId10" Type="http://schemas.openxmlformats.org/officeDocument/2006/relationships/customXml" Target="../customXml/item3.xml"/><Relationship Id="rId4" Type="http://schemas.openxmlformats.org/officeDocument/2006/relationships/footer" Target="footer1.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8BD7C35D-36D7-4E8D-9D9A-496B7D2E6A8B}"/>
</file>

<file path=customXml/itemProps3.xml><?xml version="1.0" encoding="utf-8"?>
<ds:datastoreItem xmlns:ds="http://schemas.openxmlformats.org/officeDocument/2006/customXml" ds:itemID="{BB47C809-8C1C-45B9-9EF1-7740CC5ABBB2}"/>
</file>

<file path=customXml/itemProps4.xml><?xml version="1.0" encoding="utf-8"?>
<ds:datastoreItem xmlns:ds="http://schemas.openxmlformats.org/officeDocument/2006/customXml" ds:itemID="{E3C1F49E-7EE3-4B80-9691-C1DA1434ACF7}"/>
</file>

<file path=docProps/app.xml><?xml version="1.0" encoding="utf-8"?>
<Properties xmlns="http://schemas.openxmlformats.org/officeDocument/2006/extended-properties" xmlns:vt="http://schemas.openxmlformats.org/officeDocument/2006/docPropsVTypes">
  <Template>Normal</Template>
  <Company>So 219 Tran Phu - TP.Ha Tinh</Company>
  <Pages>3</Pages>
  <Words>587</Words>
  <Characters>3351</Characters>
  <Lines>27</Lines>
  <Paragraphs>7</Paragraphs>
  <TotalTime>0</TotalTime>
  <ScaleCrop>false</ScaleCrop>
  <LinksUpToDate>false</LinksUpToDate>
  <CharactersWithSpaces>3931</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ñy ban nh©n d©n tØnh hµ tÜnh</dc:title>
  <dc:creator>Cty CP TM Hong Ha</dc:creator>
  <cp:lastModifiedBy>Hiệp Ngọc</cp:lastModifiedBy>
  <cp:revision>4</cp:revision>
  <cp:lastPrinted>2017-06-22T08:33:00Z</cp:lastPrinted>
  <dcterms:created xsi:type="dcterms:W3CDTF">2024-06-06T02:02:00Z</dcterms:created>
  <dcterms:modified xsi:type="dcterms:W3CDTF">2024-12-11T02:44:42Z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B14DC87F96A04750BBDF7BF9B19479C1_13</vt:lpwstr>
  </property>
  <property fmtid="{D5CDD505-2E9C-101B-9397-08002B2CF9AE}" pid="4" name="ContentTypeId">
    <vt:lpwstr>0x010100EF76DD0EEA9EDF408EA9CAF807026CA8</vt:lpwstr>
  </property>
</Properties>
</file>